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（1-</w:t>
      </w:r>
      <w:r>
        <w:rPr>
          <w:rFonts w:hint="default" w:ascii="楷体_GB2312" w:hAnsi="宋体" w:eastAsia="楷体_GB2312"/>
          <w:b/>
          <w:color w:val="000000"/>
          <w:sz w:val="32"/>
          <w:szCs w:val="32"/>
          <w:highlight w:val="none"/>
          <w:lang w:eastAsia="zh-CN"/>
        </w:rPr>
        <w:t>9</w:t>
      </w:r>
      <w:r>
        <w:rPr>
          <w:rFonts w:hint="eastAsia" w:ascii="楷体_GB2312" w:hAnsi="宋体" w:eastAsia="楷体_GB2312"/>
          <w:b/>
          <w:color w:val="000000"/>
          <w:sz w:val="32"/>
          <w:szCs w:val="32"/>
          <w:highlight w:val="none"/>
        </w:rPr>
        <w:t>月）</w:t>
      </w:r>
    </w:p>
    <w:p>
      <w:pPr>
        <w:pStyle w:val="3"/>
        <w:rPr>
          <w:rFonts w:hint="eastAsia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一、商务运行总体情况</w:t>
      </w:r>
    </w:p>
    <w:p>
      <w:pPr>
        <w:pStyle w:val="9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2710.2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27.4%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1988.9亿元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24.4%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721.4亿元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36.6%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27.45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65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5.22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美元，下降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 w:eastAsia="zh-CN"/>
        </w:rPr>
        <w:t>71.97</w:t>
      </w:r>
      <w: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。实现社会消费品零售额</w:t>
      </w:r>
      <w:r>
        <w:rPr>
          <w:rFonts w:ascii="仿宋_GB2312" w:hAnsi="Calibri" w:eastAsia="仿宋_GB2312"/>
          <w:color w:val="auto"/>
          <w:sz w:val="32"/>
          <w:szCs w:val="32"/>
          <w:highlight w:val="none"/>
        </w:rPr>
        <w:t>1623.</w:t>
      </w:r>
      <w:r>
        <w:rPr>
          <w:rFonts w:hint="default" w:ascii="仿宋_GB2312" w:hAnsi="Calibri" w:eastAsia="仿宋_GB2312"/>
          <w:color w:val="auto"/>
          <w:sz w:val="32"/>
          <w:szCs w:val="32"/>
          <w:highlight w:val="none"/>
        </w:rPr>
        <w:t>5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hAnsi="Calibri" w:eastAsia="仿宋_GB2312"/>
          <w:color w:val="auto"/>
          <w:sz w:val="32"/>
          <w:szCs w:val="32"/>
          <w:highlight w:val="none"/>
        </w:rPr>
        <w:t>11.2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外贸增速快于全省。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据海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关数据，1-9月，进出口、出口、进口总值均列全省第4位，进出口、出口、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增速分列全省第5、4、6位。全市进出口增速高于全省</w:t>
      </w:r>
      <w:r>
        <w:rPr>
          <w:rFonts w:hint="eastAsia" w:ascii="仿宋_GB2312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(22.8%) 4.6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个百分点，出口增速高于全省(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9.5%)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.9个百分点，占全国出口份额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12.79‰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，较2020年同期提高</w:t>
      </w:r>
      <w:r>
        <w:rPr>
          <w:rFonts w:hint="eastAsia" w:ascii="仿宋_GB2312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0.20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个千分点。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hint="default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1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</w:rPr>
        <w:t>.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外资结构进一步优化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</w:rPr>
        <w:t>。</w:t>
      </w:r>
      <w:r>
        <w:rPr>
          <w:rFonts w:hint="default" w:ascii="仿宋_GB2312" w:eastAsia="仿宋_GB2312"/>
          <w:color w:val="000000"/>
          <w:sz w:val="32"/>
          <w:szCs w:val="32"/>
          <w:highlight w:val="none"/>
        </w:rPr>
        <w:t xml:space="preserve"> 1-9月</w:t>
      </w:r>
      <w:r>
        <w:rPr>
          <w:rFonts w:hint="default" w:ascii="仿宋_GB2312" w:hAnsi="Times New Roman" w:eastAsia="仿宋_GB2312" w:cs="Times New Roman"/>
          <w:color w:val="000000"/>
          <w:spacing w:val="0"/>
          <w:sz w:val="32"/>
          <w:szCs w:val="32"/>
          <w:highlight w:val="none"/>
        </w:rPr>
        <w:t>，高技术产业实际利用外资占比达48.4%，较去年提高近15个百分点，其中高技术制造业增长84.89%，高技术服务业增长57.34%。</w:t>
      </w:r>
      <w:r>
        <w:rPr>
          <w:rFonts w:hint="default" w:ascii="仿宋_GB2312" w:hAnsi="Times New Roman" w:eastAsia="仿宋_GB2312"/>
          <w:color w:val="000000"/>
          <w:spacing w:val="0"/>
          <w:sz w:val="32"/>
          <w:szCs w:val="32"/>
          <w:highlight w:val="none"/>
        </w:rPr>
        <w:br w:type="textWrapping"/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项目质量进一步提升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</w:rPr>
        <w:t>。</w:t>
      </w:r>
      <w:r>
        <w:rPr>
          <w:rFonts w:hint="default" w:ascii="仿宋_GB2312" w:eastAsia="仿宋_GB2312"/>
          <w:color w:val="000000"/>
          <w:sz w:val="32"/>
          <w:szCs w:val="32"/>
          <w:highlight w:val="none"/>
        </w:rPr>
        <w:t xml:space="preserve"> 1-9月</w:t>
      </w:r>
      <w:r>
        <w:rPr>
          <w:rFonts w:hint="default" w:ascii="仿宋_GB2312" w:hAnsi="Times New Roman" w:eastAsia="仿宋_GB2312"/>
          <w:color w:val="000000"/>
          <w:spacing w:val="0"/>
          <w:sz w:val="32"/>
          <w:szCs w:val="32"/>
          <w:highlight w:val="none"/>
        </w:rPr>
        <w:t>，引进投资总额超亿美元项目 5</w:t>
      </w:r>
      <w:r>
        <w:rPr>
          <w:rFonts w:hint="default" w:ascii="仿宋_GB2312" w:hAnsi="Times New Roman" w:eastAsia="仿宋_GB2312"/>
          <w:color w:val="000000"/>
          <w:spacing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hAnsi="Times New Roman" w:eastAsia="仿宋_GB2312"/>
          <w:color w:val="000000"/>
          <w:spacing w:val="0"/>
          <w:sz w:val="32"/>
          <w:szCs w:val="32"/>
          <w:highlight w:val="none"/>
        </w:rPr>
        <w:t>个，比去年同期增加了12个。湛新科技材料（嘉兴）有限公司、马奥感应加热系统（嘉兴）有限公司、德马吉森精机制造技术（平湖）有限公司等行业领先企业相继落户，对推动我市产业结构升级，提高我市产业竞争力具有积极作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rPr>
          <w:rFonts w:hint="default" w:ascii="仿宋_GB2312" w:hAnsi="Times New Roman" w:eastAsia="仿宋_GB2312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</w:rPr>
        <w:t>3</w:t>
      </w:r>
      <w:r>
        <w:rPr>
          <w:rFonts w:hint="default" w:ascii="仿宋_GB2312" w:hAnsi="Times New Roman" w:eastAsia="仿宋_GB2312"/>
          <w:b/>
          <w:bCs/>
          <w:color w:val="000000"/>
          <w:spacing w:val="0"/>
          <w:sz w:val="32"/>
          <w:szCs w:val="32"/>
          <w:highlight w:val="none"/>
        </w:rPr>
        <w:t>.外资企业增资扩股势头强劲。</w:t>
      </w:r>
      <w:r>
        <w:rPr>
          <w:rFonts w:hint="eastAsia" w:ascii="仿宋_GB2312" w:hAnsi="Times New Roman" w:eastAsia="仿宋_GB2312"/>
          <w:color w:val="000000"/>
          <w:spacing w:val="0"/>
          <w:sz w:val="32"/>
          <w:szCs w:val="32"/>
          <w:highlight w:val="none"/>
          <w:lang w:val="en-US" w:eastAsia="zh-CN"/>
        </w:rPr>
        <w:t>全市有120家外商投资企业调整投资规模，合同外资增资14.7亿美元。其中嘉兴佐帕斯工业有限公司、日本电产汽车马达（浙江）有限公司等企业的增资额均超过3000万美元。</w:t>
      </w:r>
    </w:p>
    <w:p>
      <w:pPr>
        <w:spacing w:line="560" w:lineRule="exact"/>
        <w:ind w:firstLine="643" w:firstLineChars="200"/>
        <w:rPr>
          <w:rFonts w:hint="default" w:ascii="仿宋_GB2312" w:hAnsi="Times New Roman" w:eastAsia="仿宋_GB2312"/>
          <w:b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.主要投资来源地利用外资总体增长较快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</w:rPr>
        <w:t>全市实际利用外资来源地中，香港居首位，实际利用外资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18.87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</w:rPr>
        <w:t>亿美元，增长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18.6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</w:rPr>
        <w:t>，占全市实际利用外资总额的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68.8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</w:rPr>
        <w:t>；占全市前五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位的其余投资来源地分别为：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新加坡、荷兰、英属维尔京群岛、日本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，来源于新加坡的实际利用外资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21573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万美元、占比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7.86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%；来源荷兰的实际利用外资13155万美元、占比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4.79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%；来源于英属维尔京群岛的实际利用外资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13089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万美元、占比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4.7</w:t>
      </w:r>
      <w:r>
        <w:rPr>
          <w:rFonts w:hint="eastAsia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%；来源于日本的实际利用外资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7685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万美元、占比</w:t>
      </w:r>
      <w:r>
        <w:rPr>
          <w:rFonts w:hint="default" w:ascii="仿宋_GB2312" w:hAnsi="Times New Roman" w:eastAsia="仿宋_GB2312" w:cs="Times New Roman"/>
          <w:snapToGrid/>
          <w:color w:val="000000" w:themeColor="text1"/>
          <w:spacing w:val="0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2.80</w:t>
      </w:r>
      <w:r>
        <w:rPr>
          <w:rFonts w:hint="default" w:ascii="仿宋_GB2312" w:hAnsi="Times New Roman" w:eastAsia="仿宋_GB2312" w:cs="Times New Roman"/>
          <w:snapToGrid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>%。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跨国并购比重有所上升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65个对外投（增）资项目中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15个并购项目，并购额3.41亿美元，占对外直接投资额的70.3%，较去年同期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高59.4个百分点。并购项目主要涉及制造业和采矿业等行业。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19" w:firstLineChars="200"/>
        <w:jc w:val="both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全市对外直接投资备案额在1000万美元以上的项目11个，对外直接投资备案额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4.01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76.9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%；其中3000万美元以上的项目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个，对外直接投资备案额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3.39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64.9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5000万美元以上的项目3个，对外直接投资备案额2亿美元，占比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38.3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19" w:firstLineChars="200"/>
        <w:textAlignment w:val="auto"/>
        <w:rPr>
          <w:rFonts w:hint="eastAsia" w:ascii="仿宋_GB2312" w:hAnsi="宋体" w:eastAsia="仿宋_GB2312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3.“一带一路”沿线国家投资占比较高。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全市在“一带一路”沿线国家（含港澳台地区）投资项目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个</w:t>
      </w:r>
      <w:r>
        <w:rPr>
          <w:rFonts w:hint="default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3.</w:t>
      </w:r>
      <w:r>
        <w:rPr>
          <w:rFonts w:hint="eastAsia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24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亿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美元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占比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62.1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eastAsia="仿宋_GB2312" w:cs="Times New Roman"/>
          <w:snapToGrid w:val="0"/>
          <w:spacing w:val="-6"/>
          <w:kern w:val="0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hAnsi="Calibri" w:eastAsia="仿宋_GB2312" w:cs="Times New Roman"/>
          <w:snapToGrid w:val="0"/>
          <w:spacing w:val="-6"/>
          <w:kern w:val="0"/>
          <w:sz w:val="32"/>
          <w:szCs w:val="32"/>
          <w:highlight w:val="none"/>
          <w:lang w:val="en-US" w:eastAsia="zh-CN" w:bidi="ar-SA"/>
        </w:rPr>
        <w:t>对外直接投资额</w:t>
      </w:r>
      <w:r>
        <w:rPr>
          <w:rFonts w:hint="eastAsia" w:ascii="仿宋_GB2312" w:hAnsi="仿宋_GB2312" w:eastAsia="仿宋_GB2312" w:cs="仿宋_GB2312"/>
          <w:sz w:val="32"/>
          <w:szCs w:val="32"/>
        </w:rPr>
        <w:t>居前三的国家（地区）分别是印度尼西亚、中国香港、泰国。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19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.限上消费品市场</w:t>
      </w:r>
      <w:r>
        <w:rPr>
          <w:rFonts w:hint="default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保持</w:t>
      </w:r>
      <w:r>
        <w:rPr>
          <w:rFonts w:hint="eastAsia" w:ascii="仿宋_GB2312" w:hAnsi="Calibri" w:eastAsia="仿宋_GB2312" w:cs="Times New Roman"/>
          <w:b/>
          <w:bCs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全市限上消费品零售额总额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451.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15.5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%。分地区来看，嘉善县、平湖市增速靠前，增长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34.8%和24.6%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；分行业来看，汽车类限上零售额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189.95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15.1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%，占全市限上消费品零售总额的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42.1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生活必需品市场供应稳定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全市重点监测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家零售企业累计实现商品销售额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161.03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8.5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%；8家批发企业累计实现商品销售额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226.2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9.97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主要生活必需品市场供应稳定。百货（超市）销售总体向好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限上百货（超市）销售总额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77.4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住宿和餐饮业稳步恢复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3578.8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42.1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%，其中限上批发业销售额增长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47.8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%,限上零售业销售额增长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14.4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%；全市限上住宿和餐饮业实现营业额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39.2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29.8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33.8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%，限上餐饮业营业额增长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27.6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1141.7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亿元，列全省第5位，增长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10.0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%。全市居民网络消费额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655.0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17.7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1.离岸外包执行额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稳步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离岸外包执行额3.53亿美元，增长21.7%。离岸外包执行额居前三的分别是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秀洲区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嘉善县、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南湖区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嘉兴港区与秀洲区分别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增长68.7%和32.6%，在各区县中表现突出。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全市企业承接“一带一路”沿线国家和地区离岸外包执行额4700.3万美元，增长36.5%；承接中国香港和美国离岸外包执行额2.05亿美元，占全市离岸外包执行额的58.2%。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知识流程外包执行额22.3亿元，占全市合同执行总额的86.8%；信息技术外包和业务流程外包合同执行额占比较小，分别占总量的3.4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0DED"/>
    <w:rsid w:val="67E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2021-10-31T13:32:00Z</dcterms:created>
  <dc:creator>Administrator</dc:creator>
  <cp:lastModifiedBy>Administrator</cp:lastModifiedBy>
  <dcterms:modified xsi:type="dcterms:W3CDTF">2021-10-31T13:32:46Z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