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b/>
          <w:color w:val="auto"/>
          <w:sz w:val="44"/>
          <w:szCs w:val="44"/>
          <w:highlight w:val="none"/>
        </w:rPr>
      </w:pPr>
      <w:r>
        <w:rPr>
          <w:rFonts w:hint="eastAsia" w:ascii="方正小标宋简体" w:hAnsi="宋体" w:eastAsia="方正小标宋简体"/>
          <w:b/>
          <w:color w:val="auto"/>
          <w:sz w:val="44"/>
          <w:szCs w:val="44"/>
          <w:highlight w:val="none"/>
        </w:rPr>
        <w:t>嘉兴市商务运行情况简析</w:t>
      </w:r>
    </w:p>
    <w:p>
      <w:pPr>
        <w:spacing w:line="560" w:lineRule="exact"/>
        <w:jc w:val="center"/>
        <w:rPr>
          <w:rFonts w:hint="eastAsia" w:ascii="楷体_GB2312" w:hAnsi="宋体" w:eastAsia="楷体_GB2312"/>
          <w:b/>
          <w:color w:val="auto"/>
          <w:sz w:val="32"/>
          <w:szCs w:val="32"/>
          <w:highlight w:val="none"/>
        </w:rPr>
      </w:pPr>
      <w:r>
        <w:rPr>
          <w:rFonts w:hint="eastAsia" w:ascii="楷体_GB2312" w:hAnsi="宋体" w:eastAsia="楷体_GB2312"/>
          <w:b/>
          <w:color w:val="auto"/>
          <w:sz w:val="32"/>
          <w:szCs w:val="32"/>
          <w:highlight w:val="none"/>
        </w:rPr>
        <w:t>（1-</w:t>
      </w:r>
      <w:r>
        <w:rPr>
          <w:rFonts w:hint="default" w:ascii="楷体_GB2312" w:hAnsi="宋体" w:eastAsia="楷体_GB2312"/>
          <w:b/>
          <w:color w:val="auto"/>
          <w:sz w:val="32"/>
          <w:szCs w:val="32"/>
          <w:highlight w:val="none"/>
          <w:lang w:eastAsia="zh-CN"/>
        </w:rPr>
        <w:t>3</w:t>
      </w:r>
      <w:r>
        <w:rPr>
          <w:rFonts w:hint="eastAsia" w:ascii="楷体_GB2312" w:hAnsi="宋体" w:eastAsia="楷体_GB2312"/>
          <w:b/>
          <w:color w:val="auto"/>
          <w:sz w:val="32"/>
          <w:szCs w:val="32"/>
          <w:highlight w:val="none"/>
        </w:rPr>
        <w:t>月）</w:t>
      </w:r>
    </w:p>
    <w:p>
      <w:pPr>
        <w:pStyle w:val="10"/>
        <w:rPr>
          <w:rFonts w:hint="eastAsia"/>
          <w:color w:val="auto"/>
          <w:highlight w:val="none"/>
        </w:rPr>
      </w:pPr>
    </w:p>
    <w:p>
      <w:pPr>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一、商务运行总体情况</w:t>
      </w:r>
    </w:p>
    <w:p>
      <w:pPr>
        <w:pStyle w:val="14"/>
        <w:adjustRightInd w:val="0"/>
        <w:snapToGrid w:val="0"/>
        <w:spacing w:line="560" w:lineRule="exact"/>
        <w:ind w:firstLine="640"/>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lang w:val="en-US" w:eastAsia="zh-CN"/>
        </w:rPr>
        <w:t>1-</w:t>
      </w:r>
      <w:r>
        <w:rPr>
          <w:rFonts w:hint="default" w:ascii="仿宋_GB2312" w:eastAsia="仿宋_GB2312"/>
          <w:color w:val="auto"/>
          <w:sz w:val="32"/>
          <w:szCs w:val="32"/>
          <w:highlight w:val="none"/>
          <w:lang w:eastAsia="zh-CN"/>
        </w:rPr>
        <w:t>3</w:t>
      </w:r>
      <w:r>
        <w:rPr>
          <w:rFonts w:hint="default" w:ascii="仿宋_GB2312" w:eastAsia="仿宋_GB2312"/>
          <w:color w:val="auto"/>
          <w:sz w:val="32"/>
          <w:szCs w:val="32"/>
          <w:highlight w:val="none"/>
          <w:lang w:val="en-US" w:eastAsia="zh-CN"/>
        </w:rPr>
        <w:t>月，全市</w:t>
      </w:r>
      <w:r>
        <w:rPr>
          <w:rFonts w:hint="default" w:ascii="仿宋_GB2312" w:hAnsi="Calibri" w:eastAsia="仿宋_GB2312" w:cs="Times New Roman"/>
          <w:color w:val="auto"/>
          <w:spacing w:val="0"/>
          <w:kern w:val="2"/>
          <w:sz w:val="32"/>
          <w:szCs w:val="32"/>
          <w:highlight w:val="none"/>
          <w:u w:val="none"/>
          <w:lang w:val="en-US" w:eastAsia="zh-CN" w:bidi="ar-SA"/>
        </w:rPr>
        <w:t>货物贸易</w:t>
      </w:r>
      <w:r>
        <w:rPr>
          <w:rFonts w:hint="default" w:ascii="仿宋_GB2312" w:eastAsia="仿宋_GB2312"/>
          <w:color w:val="auto"/>
          <w:sz w:val="32"/>
          <w:szCs w:val="32"/>
          <w:highlight w:val="none"/>
          <w:lang w:val="en-US" w:eastAsia="zh-CN"/>
        </w:rPr>
        <w:t>进出口总额</w:t>
      </w:r>
      <w:r>
        <w:rPr>
          <w:rFonts w:hint="default" w:ascii="仿宋_GB2312" w:eastAsia="仿宋_GB2312" w:cs="Times New Roman"/>
          <w:color w:val="auto"/>
          <w:spacing w:val="0"/>
          <w:kern w:val="2"/>
          <w:sz w:val="32"/>
          <w:szCs w:val="32"/>
          <w:highlight w:val="none"/>
          <w:u w:val="none"/>
          <w:lang w:eastAsia="zh-CN" w:bidi="ar-SA"/>
        </w:rPr>
        <w:t>984.4</w:t>
      </w:r>
      <w:r>
        <w:rPr>
          <w:rFonts w:hint="default" w:ascii="仿宋_GB2312" w:eastAsia="仿宋_GB2312"/>
          <w:color w:val="auto"/>
          <w:sz w:val="32"/>
          <w:szCs w:val="32"/>
          <w:highlight w:val="none"/>
          <w:lang w:val="en-US" w:eastAsia="zh-CN"/>
        </w:rPr>
        <w:t>亿元，同比增长（下同）</w:t>
      </w:r>
      <w:r>
        <w:rPr>
          <w:rFonts w:hint="default" w:ascii="仿宋_GB2312" w:eastAsia="仿宋_GB2312" w:cs="Times New Roman"/>
          <w:color w:val="auto"/>
          <w:spacing w:val="0"/>
          <w:kern w:val="2"/>
          <w:sz w:val="32"/>
          <w:szCs w:val="32"/>
          <w:highlight w:val="none"/>
          <w:u w:val="none"/>
          <w:lang w:eastAsia="zh-CN" w:bidi="ar-SA"/>
        </w:rPr>
        <w:t>21.3</w:t>
      </w:r>
      <w:r>
        <w:rPr>
          <w:rFonts w:hint="default" w:ascii="仿宋_GB2312" w:hAnsi="Calibri" w:eastAsia="仿宋_GB2312" w:cs="Times New Roman"/>
          <w:color w:val="auto"/>
          <w:spacing w:val="0"/>
          <w:kern w:val="2"/>
          <w:sz w:val="32"/>
          <w:szCs w:val="32"/>
          <w:highlight w:val="none"/>
          <w:u w:val="none"/>
          <w:lang w:val="en-US" w:eastAsia="zh-CN" w:bidi="ar-SA"/>
        </w:rPr>
        <w:t>%</w:t>
      </w:r>
      <w:r>
        <w:rPr>
          <w:rFonts w:hint="default" w:ascii="仿宋_GB2312" w:eastAsia="仿宋_GB2312"/>
          <w:color w:val="auto"/>
          <w:sz w:val="32"/>
          <w:szCs w:val="32"/>
          <w:highlight w:val="none"/>
          <w:lang w:val="en-US" w:eastAsia="zh-CN"/>
        </w:rPr>
        <w:t>。其中出口</w:t>
      </w:r>
      <w:r>
        <w:rPr>
          <w:rFonts w:hint="default" w:ascii="仿宋_GB2312" w:eastAsia="仿宋_GB2312" w:cs="Times New Roman"/>
          <w:color w:val="auto"/>
          <w:spacing w:val="0"/>
          <w:kern w:val="2"/>
          <w:sz w:val="32"/>
          <w:szCs w:val="32"/>
          <w:highlight w:val="none"/>
          <w:u w:val="none"/>
          <w:lang w:eastAsia="zh-CN" w:bidi="ar-SA"/>
        </w:rPr>
        <w:t>711.1亿元</w:t>
      </w:r>
      <w:r>
        <w:rPr>
          <w:rFonts w:hint="default" w:ascii="仿宋_GB2312" w:eastAsia="仿宋_GB2312"/>
          <w:color w:val="auto"/>
          <w:sz w:val="32"/>
          <w:szCs w:val="32"/>
          <w:highlight w:val="none"/>
          <w:lang w:val="en-US" w:eastAsia="zh-CN"/>
        </w:rPr>
        <w:t>，增长</w:t>
      </w:r>
      <w:r>
        <w:rPr>
          <w:rFonts w:hint="default" w:ascii="仿宋_GB2312" w:eastAsia="仿宋_GB2312" w:cs="Times New Roman"/>
          <w:color w:val="auto"/>
          <w:spacing w:val="0"/>
          <w:kern w:val="2"/>
          <w:sz w:val="32"/>
          <w:szCs w:val="32"/>
          <w:highlight w:val="none"/>
          <w:u w:val="none"/>
          <w:lang w:eastAsia="zh-CN" w:bidi="ar-SA"/>
        </w:rPr>
        <w:t>18.8</w:t>
      </w:r>
      <w:r>
        <w:rPr>
          <w:rFonts w:hint="eastAsia" w:ascii="仿宋_GB2312" w:hAnsi="Calibri" w:eastAsia="仿宋_GB2312" w:cs="Times New Roman"/>
          <w:color w:val="auto"/>
          <w:spacing w:val="0"/>
          <w:kern w:val="2"/>
          <w:sz w:val="32"/>
          <w:szCs w:val="32"/>
          <w:highlight w:val="none"/>
          <w:u w:val="none"/>
          <w:lang w:val="en-US" w:eastAsia="zh-CN" w:bidi="ar-SA"/>
        </w:rPr>
        <w:t>%</w:t>
      </w:r>
      <w:r>
        <w:rPr>
          <w:rFonts w:hint="default" w:ascii="仿宋_GB2312" w:eastAsia="仿宋_GB2312"/>
          <w:color w:val="auto"/>
          <w:sz w:val="32"/>
          <w:szCs w:val="32"/>
          <w:highlight w:val="none"/>
          <w:lang w:val="en-US" w:eastAsia="zh-CN"/>
        </w:rPr>
        <w:t>；进口</w:t>
      </w:r>
      <w:r>
        <w:rPr>
          <w:rFonts w:hint="default" w:ascii="仿宋_GB2312" w:eastAsia="仿宋_GB2312" w:cs="Times New Roman"/>
          <w:color w:val="auto"/>
          <w:spacing w:val="0"/>
          <w:kern w:val="2"/>
          <w:sz w:val="32"/>
          <w:szCs w:val="32"/>
          <w:highlight w:val="none"/>
          <w:u w:val="none"/>
          <w:lang w:eastAsia="zh-CN" w:bidi="ar-SA"/>
        </w:rPr>
        <w:t>273.3</w:t>
      </w:r>
      <w:r>
        <w:rPr>
          <w:rFonts w:hint="eastAsia" w:ascii="仿宋_GB2312" w:hAnsi="Calibri" w:eastAsia="仿宋_GB2312" w:cs="Times New Roman"/>
          <w:color w:val="auto"/>
          <w:spacing w:val="0"/>
          <w:kern w:val="2"/>
          <w:sz w:val="32"/>
          <w:szCs w:val="32"/>
          <w:highlight w:val="none"/>
          <w:u w:val="none"/>
          <w:lang w:val="en-US" w:eastAsia="zh-CN" w:bidi="ar-SA"/>
        </w:rPr>
        <w:t>亿元</w:t>
      </w:r>
      <w:r>
        <w:rPr>
          <w:rFonts w:hint="default" w:ascii="仿宋_GB2312" w:eastAsia="仿宋_GB2312"/>
          <w:color w:val="auto"/>
          <w:sz w:val="32"/>
          <w:szCs w:val="32"/>
          <w:highlight w:val="none"/>
          <w:lang w:val="en-US" w:eastAsia="zh-CN"/>
        </w:rPr>
        <w:t>，增长</w:t>
      </w:r>
      <w:r>
        <w:rPr>
          <w:rFonts w:hint="default" w:ascii="仿宋_GB2312" w:eastAsia="仿宋_GB2312" w:cs="Times New Roman"/>
          <w:color w:val="auto"/>
          <w:spacing w:val="0"/>
          <w:kern w:val="2"/>
          <w:sz w:val="32"/>
          <w:szCs w:val="32"/>
          <w:highlight w:val="none"/>
          <w:u w:val="none"/>
          <w:lang w:eastAsia="zh-CN" w:bidi="ar-SA"/>
        </w:rPr>
        <w:t>28.1</w:t>
      </w:r>
      <w:r>
        <w:rPr>
          <w:rFonts w:hint="eastAsia" w:ascii="仿宋_GB2312" w:hAnsi="Calibri" w:eastAsia="仿宋_GB2312" w:cs="Times New Roman"/>
          <w:color w:val="auto"/>
          <w:spacing w:val="0"/>
          <w:kern w:val="2"/>
          <w:sz w:val="32"/>
          <w:szCs w:val="32"/>
          <w:highlight w:val="none"/>
          <w:u w:val="none"/>
          <w:lang w:val="en-US" w:eastAsia="zh-CN" w:bidi="ar-SA"/>
        </w:rPr>
        <w:t>%</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lang w:val="en-US" w:eastAsia="zh-CN"/>
        </w:rPr>
        <w:t>海关数据</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lang w:val="en-US" w:eastAsia="zh-CN"/>
        </w:rPr>
        <w:t>。</w:t>
      </w:r>
      <w:r>
        <w:rPr>
          <w:rFonts w:hint="default" w:ascii="仿宋_GB2312" w:eastAsia="仿宋_GB2312"/>
          <w:color w:val="auto"/>
          <w:sz w:val="32"/>
          <w:szCs w:val="32"/>
          <w:highlight w:val="none"/>
        </w:rPr>
        <w:t>部口径新批外资项目</w:t>
      </w:r>
      <w:r>
        <w:rPr>
          <w:rFonts w:hint="default" w:ascii="仿宋_GB2312" w:eastAsia="仿宋_GB2312"/>
          <w:color w:val="auto"/>
          <w:sz w:val="32"/>
          <w:szCs w:val="32"/>
          <w:highlight w:val="none"/>
          <w:lang w:eastAsia="zh-CN"/>
        </w:rPr>
        <w:t>83</w:t>
      </w:r>
      <w:r>
        <w:rPr>
          <w:rFonts w:hint="default" w:ascii="仿宋_GB2312" w:eastAsia="仿宋_GB2312"/>
          <w:color w:val="auto"/>
          <w:sz w:val="32"/>
          <w:szCs w:val="32"/>
          <w:highlight w:val="none"/>
        </w:rPr>
        <w:t>个</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rPr>
        <w:t>实际利用外资</w:t>
      </w:r>
      <w:r>
        <w:rPr>
          <w:rFonts w:hint="default" w:ascii="仿宋_GB2312" w:eastAsia="仿宋_GB2312"/>
          <w:color w:val="auto"/>
          <w:sz w:val="32"/>
          <w:szCs w:val="32"/>
          <w:highlight w:val="none"/>
          <w:lang w:eastAsia="zh-CN"/>
        </w:rPr>
        <w:t>13.87</w:t>
      </w:r>
      <w:r>
        <w:rPr>
          <w:rFonts w:hint="default" w:ascii="仿宋_GB2312" w:eastAsia="仿宋_GB2312"/>
          <w:color w:val="auto"/>
          <w:sz w:val="32"/>
          <w:szCs w:val="32"/>
          <w:highlight w:val="none"/>
        </w:rPr>
        <w:t>亿美元</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位列全省第三</w:t>
      </w:r>
      <w:r>
        <w:rPr>
          <w:rFonts w:hint="default" w:ascii="仿宋_GB2312" w:eastAsia="仿宋_GB2312"/>
          <w:color w:val="auto"/>
          <w:sz w:val="32"/>
          <w:szCs w:val="32"/>
          <w:highlight w:val="none"/>
        </w:rPr>
        <w:t>。新批境外投（增）资备案项目</w:t>
      </w:r>
      <w:r>
        <w:rPr>
          <w:rFonts w:hint="default" w:ascii="仿宋_GB2312" w:eastAsia="仿宋_GB2312" w:cs="Times New Roman"/>
          <w:color w:val="auto"/>
          <w:sz w:val="32"/>
          <w:szCs w:val="32"/>
          <w:highlight w:val="none"/>
          <w:lang w:eastAsia="zh-CN"/>
        </w:rPr>
        <w:t>19</w:t>
      </w:r>
      <w:r>
        <w:rPr>
          <w:rFonts w:hint="default" w:ascii="仿宋_GB2312" w:eastAsia="仿宋_GB2312"/>
          <w:color w:val="auto"/>
          <w:sz w:val="32"/>
          <w:szCs w:val="32"/>
          <w:highlight w:val="none"/>
        </w:rPr>
        <w:t>个，对外直接投资备案额</w:t>
      </w:r>
      <w:r>
        <w:rPr>
          <w:rFonts w:hint="default" w:ascii="仿宋_GB2312" w:eastAsia="仿宋_GB2312" w:cs="Times New Roman"/>
          <w:color w:val="auto"/>
          <w:sz w:val="32"/>
          <w:szCs w:val="32"/>
          <w:highlight w:val="none"/>
          <w:lang w:eastAsia="zh-CN"/>
        </w:rPr>
        <w:t>24.8</w:t>
      </w:r>
      <w:r>
        <w:rPr>
          <w:rFonts w:hint="default" w:ascii="仿宋_GB2312" w:eastAsia="仿宋_GB2312"/>
          <w:color w:val="auto"/>
          <w:sz w:val="32"/>
          <w:szCs w:val="32"/>
          <w:highlight w:val="none"/>
          <w:lang w:val="en-US" w:eastAsia="zh-CN"/>
        </w:rPr>
        <w:t>亿</w:t>
      </w:r>
      <w:r>
        <w:rPr>
          <w:rFonts w:hint="default" w:ascii="仿宋_GB2312" w:eastAsia="仿宋_GB2312"/>
          <w:color w:val="auto"/>
          <w:sz w:val="32"/>
          <w:szCs w:val="32"/>
          <w:highlight w:val="none"/>
        </w:rPr>
        <w:t>美元，增长51.7倍，</w:t>
      </w:r>
      <w:r>
        <w:rPr>
          <w:rFonts w:hint="eastAsia" w:ascii="仿宋_GB2312" w:eastAsia="仿宋_GB2312" w:cs="Times New Roman"/>
          <w:color w:val="auto"/>
          <w:sz w:val="32"/>
          <w:szCs w:val="32"/>
          <w:highlight w:val="none"/>
          <w:lang w:val="en-US" w:eastAsia="zh-CN"/>
        </w:rPr>
        <w:t>总量居全省第</w:t>
      </w:r>
      <w:r>
        <w:rPr>
          <w:rFonts w:hint="default" w:ascii="仿宋_GB2312" w:eastAsia="仿宋_GB2312" w:cs="Times New Roman"/>
          <w:color w:val="auto"/>
          <w:sz w:val="32"/>
          <w:szCs w:val="32"/>
          <w:highlight w:val="none"/>
          <w:lang w:eastAsia="zh-CN"/>
        </w:rPr>
        <w:t>一</w:t>
      </w:r>
      <w:r>
        <w:rPr>
          <w:rFonts w:hint="default" w:ascii="仿宋_GB2312" w:eastAsia="仿宋_GB2312"/>
          <w:color w:val="auto"/>
          <w:sz w:val="32"/>
          <w:szCs w:val="32"/>
          <w:highlight w:val="none"/>
          <w:lang w:eastAsia="zh-CN"/>
        </w:rPr>
        <w:t>。</w:t>
      </w:r>
      <w:r>
        <w:rPr>
          <w:rFonts w:hint="default" w:ascii="仿宋_GB2312" w:hAnsi="宋体" w:eastAsia="仿宋_GB2312"/>
          <w:color w:val="000000"/>
          <w:sz w:val="32"/>
          <w:szCs w:val="32"/>
          <w:highlight w:val="none"/>
          <w:lang w:val="en-US" w:eastAsia="zh-CN"/>
        </w:rPr>
        <w:t>全市社会消费品零售总额561.9亿元，增长1.7%。</w:t>
      </w:r>
    </w:p>
    <w:p>
      <w:pPr>
        <w:spacing w:line="560" w:lineRule="exact"/>
        <w:ind w:firstLine="640" w:firstLineChars="200"/>
        <w:rPr>
          <w:rFonts w:hint="eastAsia" w:ascii="黑体" w:hAnsi="黑体" w:eastAsia="黑体"/>
          <w:color w:val="auto"/>
          <w:sz w:val="32"/>
          <w:szCs w:val="32"/>
          <w:highlight w:val="none"/>
        </w:rPr>
      </w:pPr>
      <w:r>
        <w:rPr>
          <w:rFonts w:hint="eastAsia" w:ascii="仿宋_GB2312" w:eastAsia="仿宋_GB2312"/>
          <w:color w:val="auto"/>
          <w:sz w:val="32"/>
          <w:szCs w:val="32"/>
          <w:highlight w:val="none"/>
          <w:lang w:val="en-US" w:eastAsia="zh-CN"/>
        </w:rPr>
        <w:t xml:space="preserve"> </w:t>
      </w:r>
      <w:r>
        <w:rPr>
          <w:rFonts w:hint="eastAsia" w:ascii="黑体" w:hAnsi="黑体" w:eastAsia="黑体"/>
          <w:color w:val="auto"/>
          <w:sz w:val="32"/>
          <w:szCs w:val="32"/>
          <w:highlight w:val="none"/>
        </w:rPr>
        <w:t>二、主要特点</w:t>
      </w:r>
    </w:p>
    <w:p>
      <w:pPr>
        <w:spacing w:line="560" w:lineRule="exact"/>
        <w:ind w:firstLine="642" w:firstLineChars="200"/>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（一）对外贸易</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eastAsia="仿宋_GB2312" w:cs="Times New Roman"/>
          <w:color w:val="auto"/>
          <w:sz w:val="32"/>
          <w:szCs w:val="32"/>
          <w:highlight w:val="none"/>
          <w:lang w:val="en-US" w:eastAsia="zh-CN"/>
        </w:rPr>
      </w:pPr>
      <w:r>
        <w:rPr>
          <w:rFonts w:hint="eastAsia" w:ascii="仿宋_GB2312" w:eastAsia="仿宋_GB2312"/>
          <w:b/>
          <w:bCs/>
          <w:color w:val="auto"/>
          <w:sz w:val="32"/>
          <w:szCs w:val="32"/>
          <w:highlight w:val="none"/>
          <w:lang w:val="en-US" w:eastAsia="zh-CN"/>
        </w:rPr>
        <w:t>1.对外贸易好于全国。</w:t>
      </w:r>
      <w:r>
        <w:rPr>
          <w:rFonts w:hint="eastAsia" w:ascii="仿宋_GB2312" w:eastAsia="仿宋_GB2312" w:cs="Times New Roman"/>
          <w:color w:val="auto"/>
          <w:sz w:val="32"/>
          <w:szCs w:val="32"/>
          <w:highlight w:val="none"/>
          <w:lang w:val="en-US" w:eastAsia="zh-CN"/>
        </w:rPr>
        <w:t>据海关数据，1-</w:t>
      </w:r>
      <w:r>
        <w:rPr>
          <w:rFonts w:hint="default" w:ascii="仿宋_GB2312" w:eastAsia="仿宋_GB2312" w:cs="Times New Roman"/>
          <w:color w:val="auto"/>
          <w:sz w:val="32"/>
          <w:szCs w:val="32"/>
          <w:highlight w:val="none"/>
          <w:lang w:eastAsia="zh-CN"/>
        </w:rPr>
        <w:t>3</w:t>
      </w:r>
      <w:r>
        <w:rPr>
          <w:rFonts w:hint="eastAsia" w:ascii="仿宋_GB2312" w:eastAsia="仿宋_GB2312" w:cs="Times New Roman"/>
          <w:color w:val="auto"/>
          <w:sz w:val="32"/>
          <w:szCs w:val="32"/>
          <w:highlight w:val="none"/>
          <w:lang w:val="en-US" w:eastAsia="zh-CN"/>
        </w:rPr>
        <w:t>月，进出口、出口、进口总值</w:t>
      </w:r>
      <w:r>
        <w:rPr>
          <w:rFonts w:hint="default" w:ascii="仿宋_GB2312" w:eastAsia="仿宋_GB2312" w:cs="Times New Roman"/>
          <w:color w:val="auto"/>
          <w:sz w:val="32"/>
          <w:szCs w:val="32"/>
          <w:highlight w:val="none"/>
          <w:lang w:eastAsia="zh-CN"/>
        </w:rPr>
        <w:t>均列</w:t>
      </w:r>
      <w:r>
        <w:rPr>
          <w:rFonts w:hint="eastAsia" w:ascii="仿宋_GB2312" w:eastAsia="仿宋_GB2312" w:cs="Times New Roman"/>
          <w:color w:val="auto"/>
          <w:sz w:val="32"/>
          <w:szCs w:val="32"/>
          <w:highlight w:val="none"/>
          <w:lang w:val="en-US" w:eastAsia="zh-CN"/>
        </w:rPr>
        <w:t>全省第</w:t>
      </w:r>
      <w:r>
        <w:rPr>
          <w:rFonts w:hint="default" w:ascii="仿宋_GB2312" w:eastAsia="仿宋_GB2312" w:cs="Times New Roman"/>
          <w:color w:val="auto"/>
          <w:sz w:val="32"/>
          <w:szCs w:val="32"/>
          <w:highlight w:val="none"/>
          <w:lang w:eastAsia="zh-CN"/>
        </w:rPr>
        <w:t>4</w:t>
      </w:r>
      <w:r>
        <w:rPr>
          <w:rFonts w:hint="eastAsia" w:ascii="仿宋_GB2312" w:eastAsia="仿宋_GB2312" w:cs="Times New Roman"/>
          <w:color w:val="auto"/>
          <w:sz w:val="32"/>
          <w:szCs w:val="32"/>
          <w:highlight w:val="none"/>
          <w:lang w:val="en-US" w:eastAsia="zh-CN"/>
        </w:rPr>
        <w:t>位。全市进出口增速分别高于全国</w:t>
      </w:r>
      <w:r>
        <w:rPr>
          <w:rFonts w:hint="default" w:ascii="仿宋_GB2312" w:eastAsia="仿宋_GB2312" w:cs="Times New Roman"/>
          <w:color w:val="auto"/>
          <w:sz w:val="32"/>
          <w:szCs w:val="32"/>
          <w:highlight w:val="none"/>
          <w:lang w:eastAsia="zh-CN"/>
        </w:rPr>
        <w:t>10</w:t>
      </w:r>
      <w:r>
        <w:rPr>
          <w:rFonts w:hint="eastAsia" w:ascii="仿宋_GB2312" w:eastAsia="仿宋_GB2312" w:cs="Times New Roman"/>
          <w:color w:val="auto"/>
          <w:sz w:val="32"/>
          <w:szCs w:val="32"/>
          <w:highlight w:val="none"/>
          <w:lang w:val="en-US" w:eastAsia="zh-CN"/>
        </w:rPr>
        <w:t>.</w:t>
      </w:r>
      <w:r>
        <w:rPr>
          <w:rFonts w:hint="default" w:ascii="仿宋_GB2312" w:eastAsia="仿宋_GB2312" w:cs="Times New Roman"/>
          <w:color w:val="auto"/>
          <w:sz w:val="32"/>
          <w:szCs w:val="32"/>
          <w:highlight w:val="none"/>
          <w:lang w:eastAsia="zh-CN"/>
        </w:rPr>
        <w:t>6</w:t>
      </w:r>
      <w:r>
        <w:rPr>
          <w:rFonts w:hint="eastAsia" w:ascii="仿宋_GB2312" w:eastAsia="仿宋_GB2312" w:cs="Times New Roman"/>
          <w:color w:val="auto"/>
          <w:sz w:val="32"/>
          <w:szCs w:val="32"/>
          <w:highlight w:val="none"/>
          <w:lang w:val="en-US" w:eastAsia="zh-CN"/>
        </w:rPr>
        <w:t>个百分点，低于全省3.</w:t>
      </w:r>
      <w:r>
        <w:rPr>
          <w:rFonts w:hint="default" w:ascii="仿宋_GB2312" w:eastAsia="仿宋_GB2312" w:cs="Times New Roman"/>
          <w:color w:val="auto"/>
          <w:sz w:val="32"/>
          <w:szCs w:val="32"/>
          <w:highlight w:val="none"/>
          <w:lang w:eastAsia="zh-CN"/>
        </w:rPr>
        <w:t>1</w:t>
      </w:r>
      <w:r>
        <w:rPr>
          <w:rFonts w:hint="eastAsia" w:ascii="仿宋_GB2312" w:eastAsia="仿宋_GB2312" w:cs="Times New Roman"/>
          <w:color w:val="auto"/>
          <w:sz w:val="32"/>
          <w:szCs w:val="32"/>
          <w:highlight w:val="none"/>
          <w:lang w:val="en-US" w:eastAsia="zh-CN"/>
        </w:rPr>
        <w:t>个百分点。出口增速分别高于全国</w:t>
      </w:r>
      <w:r>
        <w:rPr>
          <w:rFonts w:hint="default" w:ascii="仿宋_GB2312" w:eastAsia="仿宋_GB2312" w:cs="Times New Roman"/>
          <w:color w:val="auto"/>
          <w:sz w:val="32"/>
          <w:szCs w:val="32"/>
          <w:highlight w:val="none"/>
          <w:lang w:eastAsia="zh-CN"/>
        </w:rPr>
        <w:t>5.4</w:t>
      </w:r>
      <w:r>
        <w:rPr>
          <w:rFonts w:hint="eastAsia" w:ascii="仿宋_GB2312" w:eastAsia="仿宋_GB2312" w:cs="Times New Roman"/>
          <w:color w:val="auto"/>
          <w:sz w:val="32"/>
          <w:szCs w:val="32"/>
          <w:highlight w:val="none"/>
          <w:lang w:val="en-US" w:eastAsia="zh-CN"/>
        </w:rPr>
        <w:t>个百分点、低于全省</w:t>
      </w:r>
      <w:r>
        <w:rPr>
          <w:rFonts w:hint="default" w:ascii="仿宋_GB2312" w:eastAsia="仿宋_GB2312" w:cs="Times New Roman"/>
          <w:color w:val="auto"/>
          <w:sz w:val="32"/>
          <w:szCs w:val="32"/>
          <w:highlight w:val="none"/>
          <w:lang w:eastAsia="zh-CN"/>
        </w:rPr>
        <w:t>9</w:t>
      </w:r>
      <w:r>
        <w:rPr>
          <w:rFonts w:hint="eastAsia" w:ascii="仿宋_GB2312" w:eastAsia="仿宋_GB2312" w:cs="Times New Roman"/>
          <w:color w:val="auto"/>
          <w:sz w:val="32"/>
          <w:szCs w:val="32"/>
          <w:highlight w:val="none"/>
          <w:lang w:val="en-US" w:eastAsia="zh-CN"/>
        </w:rPr>
        <w:t>.5个百分点，占全国出口份额13.607‰，较2021年同期提高0.63个千分点</w:t>
      </w:r>
      <w:r>
        <w:rPr>
          <w:rFonts w:hint="default" w:ascii="仿宋_GB2312" w:eastAsia="仿宋_GB2312" w:cs="Times New Roman"/>
          <w:color w:val="auto"/>
          <w:sz w:val="32"/>
          <w:szCs w:val="32"/>
          <w:highlight w:val="none"/>
          <w:lang w:eastAsia="zh-CN"/>
        </w:rPr>
        <w:t>。</w:t>
      </w:r>
      <w:r>
        <w:rPr>
          <w:rFonts w:hint="eastAsia" w:ascii="仿宋_GB2312" w:eastAsia="仿宋_GB2312" w:cs="Times New Roman"/>
          <w:color w:val="auto"/>
          <w:sz w:val="32"/>
          <w:szCs w:val="32"/>
          <w:highlight w:val="none"/>
          <w:lang w:val="en-US" w:eastAsia="zh-CN"/>
        </w:rPr>
        <w:t>进口</w:t>
      </w:r>
      <w:r>
        <w:rPr>
          <w:rFonts w:hint="default" w:ascii="仿宋_GB2312" w:eastAsia="仿宋_GB2312" w:cs="Times New Roman"/>
          <w:color w:val="auto"/>
          <w:sz w:val="32"/>
          <w:szCs w:val="32"/>
          <w:highlight w:val="none"/>
          <w:lang w:eastAsia="zh-CN"/>
        </w:rPr>
        <w:t>增速分别</w:t>
      </w:r>
      <w:r>
        <w:rPr>
          <w:rFonts w:hint="eastAsia" w:ascii="仿宋_GB2312" w:eastAsia="仿宋_GB2312" w:cs="Times New Roman"/>
          <w:color w:val="auto"/>
          <w:sz w:val="32"/>
          <w:szCs w:val="32"/>
          <w:highlight w:val="none"/>
          <w:lang w:val="en-US" w:eastAsia="zh-CN"/>
        </w:rPr>
        <w:t>高于全国、全省</w:t>
      </w:r>
      <w:r>
        <w:rPr>
          <w:rFonts w:hint="default" w:ascii="仿宋_GB2312" w:eastAsia="仿宋_GB2312" w:cs="Times New Roman"/>
          <w:color w:val="auto"/>
          <w:sz w:val="32"/>
          <w:szCs w:val="32"/>
          <w:highlight w:val="none"/>
          <w:lang w:eastAsia="zh-CN"/>
        </w:rPr>
        <w:t>20.6</w:t>
      </w:r>
      <w:r>
        <w:rPr>
          <w:rFonts w:hint="eastAsia" w:ascii="仿宋_GB2312" w:eastAsia="仿宋_GB2312" w:cs="Times New Roman"/>
          <w:color w:val="auto"/>
          <w:sz w:val="32"/>
          <w:szCs w:val="32"/>
          <w:highlight w:val="none"/>
          <w:lang w:val="en-US" w:eastAsia="zh-CN"/>
        </w:rPr>
        <w:t>个、</w:t>
      </w:r>
      <w:r>
        <w:rPr>
          <w:rFonts w:hint="default" w:ascii="仿宋_GB2312" w:eastAsia="仿宋_GB2312" w:cs="Times New Roman"/>
          <w:color w:val="auto"/>
          <w:sz w:val="32"/>
          <w:szCs w:val="32"/>
          <w:highlight w:val="none"/>
          <w:lang w:eastAsia="zh-CN"/>
        </w:rPr>
        <w:t>13.2</w:t>
      </w:r>
      <w:r>
        <w:rPr>
          <w:rFonts w:hint="eastAsia" w:ascii="仿宋_GB2312" w:eastAsia="仿宋_GB2312" w:cs="Times New Roman"/>
          <w:color w:val="auto"/>
          <w:sz w:val="32"/>
          <w:szCs w:val="32"/>
          <w:highlight w:val="none"/>
          <w:lang w:val="en-US" w:eastAsia="zh-CN"/>
        </w:rPr>
        <w:t>个百分点。</w:t>
      </w:r>
    </w:p>
    <w:p>
      <w:pPr>
        <w:spacing w:line="560" w:lineRule="exact"/>
        <w:ind w:firstLine="642" w:firstLineChars="200"/>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（二）利用外资</w:t>
      </w:r>
    </w:p>
    <w:p>
      <w:pPr>
        <w:spacing w:line="560" w:lineRule="exact"/>
        <w:ind w:firstLine="642"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1.高技术产业快速增长。</w:t>
      </w:r>
      <w:r>
        <w:rPr>
          <w:rFonts w:hint="eastAsia" w:ascii="仿宋_GB2312" w:hAnsi="Times New Roman" w:eastAsia="仿宋_GB2312" w:cs="Times New Roman"/>
          <w:color w:val="auto"/>
          <w:sz w:val="32"/>
          <w:szCs w:val="32"/>
          <w:highlight w:val="none"/>
          <w:lang w:val="en-US" w:eastAsia="zh-CN"/>
        </w:rPr>
        <w:t>全市高技术产业实际利用外资</w:t>
      </w:r>
      <w:r>
        <w:rPr>
          <w:rFonts w:hint="default" w:ascii="仿宋_GB2312" w:eastAsia="仿宋_GB2312" w:cs="Times New Roman"/>
          <w:color w:val="auto"/>
          <w:sz w:val="32"/>
          <w:szCs w:val="32"/>
          <w:highlight w:val="none"/>
          <w:lang w:eastAsia="zh-CN"/>
        </w:rPr>
        <w:t>8.35</w:t>
      </w:r>
      <w:r>
        <w:rPr>
          <w:rFonts w:hint="eastAsia" w:ascii="仿宋_GB2312" w:hAnsi="Times New Roman" w:eastAsia="仿宋_GB2312" w:cs="Times New Roman"/>
          <w:color w:val="auto"/>
          <w:sz w:val="32"/>
          <w:szCs w:val="32"/>
          <w:highlight w:val="none"/>
          <w:lang w:val="en-US" w:eastAsia="zh-CN"/>
        </w:rPr>
        <w:t>亿美元，占比达到</w:t>
      </w:r>
      <w:r>
        <w:rPr>
          <w:rFonts w:hint="default" w:ascii="仿宋_GB2312" w:eastAsia="仿宋_GB2312" w:cs="Times New Roman"/>
          <w:color w:val="auto"/>
          <w:sz w:val="32"/>
          <w:szCs w:val="32"/>
          <w:highlight w:val="none"/>
          <w:lang w:eastAsia="zh"/>
        </w:rPr>
        <w:t>60.2</w:t>
      </w:r>
      <w:r>
        <w:rPr>
          <w:rFonts w:hint="eastAsia" w:ascii="仿宋_GB2312" w:hAnsi="Times New Roman" w:eastAsia="仿宋_GB2312" w:cs="Times New Roman"/>
          <w:color w:val="auto"/>
          <w:sz w:val="32"/>
          <w:szCs w:val="32"/>
          <w:highlight w:val="none"/>
          <w:lang w:val="en-US" w:eastAsia="zh-CN"/>
        </w:rPr>
        <w:t>%，</w:t>
      </w:r>
      <w:r>
        <w:rPr>
          <w:rFonts w:hint="default" w:ascii="仿宋_GB2312" w:eastAsia="仿宋_GB2312" w:cs="Times New Roman"/>
          <w:color w:val="auto"/>
          <w:sz w:val="32"/>
          <w:szCs w:val="32"/>
          <w:highlight w:val="none"/>
          <w:lang w:eastAsia="zh-CN"/>
        </w:rPr>
        <w:t>规模较去年同期增长13.6</w:t>
      </w:r>
      <w:r>
        <w:rPr>
          <w:rFonts w:hint="eastAsia" w:ascii="仿宋_GB2312" w:hAnsi="Times New Roman" w:eastAsia="仿宋_GB2312" w:cs="Times New Roman"/>
          <w:color w:val="auto"/>
          <w:sz w:val="32"/>
          <w:szCs w:val="32"/>
          <w:highlight w:val="none"/>
          <w:lang w:val="en-US" w:eastAsia="zh-CN"/>
        </w:rPr>
        <w:t>个百分点。秀洲、港区、平湖、桐乡占比均超过60%。</w:t>
      </w:r>
    </w:p>
    <w:p>
      <w:pPr>
        <w:spacing w:line="560" w:lineRule="exact"/>
        <w:ind w:firstLine="642"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2.招大引强成效明显。</w:t>
      </w:r>
      <w:r>
        <w:rPr>
          <w:rFonts w:hint="eastAsia" w:ascii="仿宋_GB2312" w:hAnsi="Times New Roman" w:eastAsia="仿宋_GB2312" w:cs="Times New Roman"/>
          <w:color w:val="auto"/>
          <w:sz w:val="32"/>
          <w:szCs w:val="32"/>
          <w:highlight w:val="none"/>
          <w:lang w:val="en-US" w:eastAsia="zh-CN"/>
        </w:rPr>
        <w:t>全市共引进总投资（增资）超亿美元产业项目</w:t>
      </w:r>
      <w:r>
        <w:rPr>
          <w:rFonts w:hint="default" w:ascii="仿宋_GB2312" w:eastAsia="仿宋_GB2312" w:cs="Times New Roman"/>
          <w:color w:val="auto"/>
          <w:sz w:val="32"/>
          <w:szCs w:val="32"/>
          <w:highlight w:val="none"/>
          <w:lang w:eastAsia="zh-CN"/>
        </w:rPr>
        <w:t>2</w:t>
      </w:r>
      <w:r>
        <w:rPr>
          <w:rFonts w:hint="eastAsia" w:ascii="仿宋_GB2312" w:hAnsi="Times New Roman" w:eastAsia="仿宋_GB2312" w:cs="Times New Roman"/>
          <w:color w:val="auto"/>
          <w:sz w:val="32"/>
          <w:szCs w:val="32"/>
          <w:highlight w:val="none"/>
          <w:lang w:val="en-US" w:eastAsia="zh-CN"/>
        </w:rPr>
        <w:t>3个，数量居全省第一。</w:t>
      </w:r>
    </w:p>
    <w:p>
      <w:pPr>
        <w:spacing w:line="560" w:lineRule="exact"/>
        <w:ind w:firstLine="642" w:firstLineChars="200"/>
        <w:rPr>
          <w:rFonts w:hint="default" w:ascii="仿宋_GB2312" w:hAnsi="Times New Roman" w:eastAsia="仿宋_GB2312" w:cs="Times New Roman"/>
          <w:color w:val="auto"/>
          <w:sz w:val="32"/>
          <w:szCs w:val="32"/>
          <w:highlight w:val="none"/>
          <w:lang w:eastAsia="zh-CN"/>
        </w:rPr>
      </w:pPr>
      <w:r>
        <w:rPr>
          <w:rFonts w:hint="default" w:ascii="仿宋_GB2312" w:eastAsia="仿宋_GB2312" w:cs="Times New Roman"/>
          <w:b/>
          <w:bCs/>
          <w:color w:val="auto"/>
          <w:sz w:val="32"/>
          <w:szCs w:val="32"/>
          <w:highlight w:val="none"/>
          <w:lang w:eastAsia="zh-CN"/>
        </w:rPr>
        <w:t>3.增资扩产强劲</w:t>
      </w:r>
      <w:r>
        <w:rPr>
          <w:rFonts w:hint="default" w:ascii="仿宋_GB2312" w:eastAsia="仿宋_GB2312" w:cs="Times New Roman"/>
          <w:color w:val="auto"/>
          <w:sz w:val="32"/>
          <w:szCs w:val="32"/>
          <w:highlight w:val="none"/>
          <w:lang w:eastAsia="zh-CN"/>
        </w:rPr>
        <w:t>。</w:t>
      </w:r>
      <w:r>
        <w:rPr>
          <w:rFonts w:hint="default" w:ascii="仿宋_GB2312" w:hAnsi="Times New Roman" w:eastAsia="仿宋_GB2312" w:cs="Times New Roman"/>
          <w:color w:val="auto"/>
          <w:sz w:val="32"/>
          <w:szCs w:val="32"/>
          <w:highlight w:val="none"/>
          <w:lang w:eastAsia="zh-CN"/>
        </w:rPr>
        <w:t>全市</w:t>
      </w:r>
      <w:r>
        <w:rPr>
          <w:rFonts w:hint="eastAsia" w:ascii="仿宋_GB2312" w:hAnsi="Times New Roman" w:eastAsia="仿宋_GB2312" w:cs="Times New Roman"/>
          <w:color w:val="auto"/>
          <w:sz w:val="32"/>
          <w:szCs w:val="32"/>
          <w:highlight w:val="none"/>
          <w:lang w:val="en-US" w:eastAsia="zh-CN"/>
        </w:rPr>
        <w:t>共有42家外资企业增资，合同外资增资11.9亿美元，增长112.7%，其中，4家企业增资超过1亿美元。</w:t>
      </w:r>
    </w:p>
    <w:p>
      <w:pPr>
        <w:spacing w:line="560" w:lineRule="exact"/>
        <w:ind w:firstLine="642" w:firstLineChars="200"/>
        <w:rPr>
          <w:rFonts w:hint="eastAsia" w:ascii="仿宋_GB2312" w:hAnsi="Times New Roman" w:eastAsia="仿宋_GB2312" w:cs="Times New Roman"/>
          <w:color w:val="auto"/>
          <w:sz w:val="32"/>
          <w:szCs w:val="32"/>
          <w:highlight w:val="none"/>
          <w:lang w:val="en-US" w:eastAsia="zh-CN"/>
        </w:rPr>
      </w:pPr>
      <w:r>
        <w:rPr>
          <w:rFonts w:hint="default" w:ascii="仿宋_GB2312" w:eastAsia="仿宋_GB2312" w:cs="Times New Roman"/>
          <w:b/>
          <w:bCs/>
          <w:color w:val="auto"/>
          <w:sz w:val="32"/>
          <w:szCs w:val="32"/>
          <w:highlight w:val="none"/>
          <w:lang w:eastAsia="zh-CN"/>
        </w:rPr>
        <w:t>4</w:t>
      </w:r>
      <w:r>
        <w:rPr>
          <w:rFonts w:hint="eastAsia" w:ascii="仿宋_GB2312" w:hAnsi="Times New Roman" w:eastAsia="仿宋_GB2312" w:cs="Times New Roman"/>
          <w:b/>
          <w:bCs/>
          <w:color w:val="auto"/>
          <w:sz w:val="32"/>
          <w:szCs w:val="32"/>
          <w:highlight w:val="none"/>
          <w:lang w:val="en-US" w:eastAsia="zh-CN"/>
        </w:rPr>
        <w:t>.主要投资来源地利用外资有增有减。</w:t>
      </w:r>
      <w:r>
        <w:rPr>
          <w:rFonts w:hint="eastAsia" w:ascii="仿宋_GB2312" w:hAnsi="Times New Roman" w:eastAsia="仿宋_GB2312" w:cs="Times New Roman"/>
          <w:color w:val="auto"/>
          <w:sz w:val="32"/>
          <w:szCs w:val="32"/>
          <w:highlight w:val="none"/>
          <w:lang w:val="en-US" w:eastAsia="zh-CN"/>
        </w:rPr>
        <w:t>全市实际利用外资</w:t>
      </w:r>
      <w:r>
        <w:rPr>
          <w:rFonts w:hint="default" w:ascii="仿宋_GB2312" w:hAnsi="Times New Roman" w:eastAsia="仿宋_GB2312" w:cs="Times New Roman"/>
          <w:color w:val="auto"/>
          <w:sz w:val="32"/>
          <w:szCs w:val="32"/>
          <w:highlight w:val="none"/>
          <w:lang w:val="en-US" w:eastAsia="zh-CN"/>
        </w:rPr>
        <w:t>主要</w:t>
      </w:r>
      <w:r>
        <w:rPr>
          <w:rFonts w:hint="eastAsia" w:ascii="仿宋_GB2312" w:hAnsi="Times New Roman" w:eastAsia="仿宋_GB2312" w:cs="Times New Roman"/>
          <w:color w:val="auto"/>
          <w:sz w:val="32"/>
          <w:szCs w:val="32"/>
          <w:highlight w:val="none"/>
          <w:lang w:val="en-US" w:eastAsia="zh-CN"/>
        </w:rPr>
        <w:t>来源地中，香港居首位，实际利用外资</w:t>
      </w:r>
      <w:r>
        <w:rPr>
          <w:rFonts w:hint="default" w:ascii="仿宋_GB2312" w:eastAsia="仿宋_GB2312" w:cs="Times New Roman"/>
          <w:color w:val="auto"/>
          <w:sz w:val="32"/>
          <w:szCs w:val="32"/>
          <w:highlight w:val="none"/>
          <w:lang w:eastAsia="zh-CN"/>
        </w:rPr>
        <w:t>8.83</w:t>
      </w:r>
      <w:r>
        <w:rPr>
          <w:rFonts w:hint="eastAsia" w:ascii="仿宋_GB2312" w:hAnsi="Times New Roman" w:eastAsia="仿宋_GB2312" w:cs="Times New Roman"/>
          <w:color w:val="auto"/>
          <w:sz w:val="32"/>
          <w:szCs w:val="32"/>
          <w:highlight w:val="none"/>
          <w:lang w:val="en-US" w:eastAsia="zh-CN"/>
        </w:rPr>
        <w:t>亿美元，</w:t>
      </w:r>
      <w:r>
        <w:rPr>
          <w:rFonts w:hint="default" w:ascii="仿宋_GB2312" w:eastAsia="仿宋_GB2312" w:cs="Times New Roman"/>
          <w:color w:val="auto"/>
          <w:sz w:val="32"/>
          <w:szCs w:val="32"/>
          <w:highlight w:val="none"/>
          <w:lang w:eastAsia="zh-CN"/>
        </w:rPr>
        <w:t>下降18.8%，</w:t>
      </w:r>
      <w:r>
        <w:rPr>
          <w:rFonts w:hint="eastAsia" w:ascii="仿宋_GB2312" w:hAnsi="Times New Roman" w:eastAsia="仿宋_GB2312" w:cs="Times New Roman"/>
          <w:color w:val="auto"/>
          <w:sz w:val="32"/>
          <w:szCs w:val="32"/>
          <w:highlight w:val="none"/>
          <w:lang w:val="en-US" w:eastAsia="zh-CN"/>
        </w:rPr>
        <w:t>占全市实际利用外资总额的</w:t>
      </w:r>
      <w:r>
        <w:rPr>
          <w:rFonts w:hint="default" w:ascii="仿宋_GB2312" w:eastAsia="仿宋_GB2312" w:cs="Times New Roman"/>
          <w:color w:val="auto"/>
          <w:sz w:val="32"/>
          <w:szCs w:val="32"/>
          <w:highlight w:val="none"/>
          <w:lang w:eastAsia="zh-CN"/>
        </w:rPr>
        <w:t>63.7</w:t>
      </w:r>
      <w:r>
        <w:rPr>
          <w:rFonts w:hint="eastAsia" w:ascii="仿宋_GB2312" w:hAnsi="Times New Roman" w:eastAsia="仿宋_GB2312" w:cs="Times New Roman"/>
          <w:color w:val="auto"/>
          <w:sz w:val="32"/>
          <w:szCs w:val="32"/>
          <w:highlight w:val="none"/>
          <w:lang w:val="en-US" w:eastAsia="zh-CN"/>
        </w:rPr>
        <w:t>%；占全市前五位的其余投资来源地分别为：新加坡、日本、英属维尔京群岛、</w:t>
      </w:r>
      <w:r>
        <w:rPr>
          <w:rFonts w:hint="default" w:ascii="仿宋_GB2312" w:eastAsia="仿宋_GB2312" w:cs="Times New Roman"/>
          <w:color w:val="auto"/>
          <w:sz w:val="32"/>
          <w:szCs w:val="32"/>
          <w:highlight w:val="none"/>
          <w:lang w:eastAsia="zh-CN"/>
        </w:rPr>
        <w:t>韩国</w:t>
      </w:r>
      <w:r>
        <w:rPr>
          <w:rFonts w:hint="eastAsia" w:ascii="仿宋_GB2312" w:hAnsi="Times New Roman" w:eastAsia="仿宋_GB2312" w:cs="Times New Roman"/>
          <w:color w:val="auto"/>
          <w:sz w:val="32"/>
          <w:szCs w:val="32"/>
          <w:highlight w:val="none"/>
          <w:lang w:val="en-US" w:eastAsia="zh-CN"/>
        </w:rPr>
        <w:t>，来源于新加坡的实际利用外资</w:t>
      </w:r>
      <w:r>
        <w:rPr>
          <w:rFonts w:hint="default" w:ascii="仿宋_GB2312" w:eastAsia="仿宋_GB2312" w:cs="Times New Roman"/>
          <w:color w:val="auto"/>
          <w:sz w:val="32"/>
          <w:szCs w:val="32"/>
          <w:highlight w:val="none"/>
          <w:lang w:eastAsia="zh-CN"/>
        </w:rPr>
        <w:t>2.01</w:t>
      </w:r>
      <w:r>
        <w:rPr>
          <w:rFonts w:hint="default" w:ascii="仿宋_GB2312" w:hAnsi="Times New Roman" w:eastAsia="仿宋_GB2312" w:cs="Times New Roman"/>
          <w:color w:val="auto"/>
          <w:sz w:val="32"/>
          <w:szCs w:val="32"/>
          <w:highlight w:val="none"/>
          <w:lang w:val="en-US" w:eastAsia="zh-CN"/>
        </w:rPr>
        <w:t>亿</w:t>
      </w:r>
      <w:r>
        <w:rPr>
          <w:rFonts w:hint="eastAsia" w:ascii="仿宋_GB2312" w:hAnsi="Times New Roman" w:eastAsia="仿宋_GB2312" w:cs="Times New Roman"/>
          <w:color w:val="auto"/>
          <w:sz w:val="32"/>
          <w:szCs w:val="32"/>
          <w:highlight w:val="none"/>
          <w:lang w:val="en-US" w:eastAsia="zh-CN"/>
        </w:rPr>
        <w:t>美元，增长</w:t>
      </w:r>
      <w:r>
        <w:rPr>
          <w:rFonts w:hint="default" w:ascii="仿宋_GB2312" w:eastAsia="仿宋_GB2312" w:cs="Times New Roman"/>
          <w:color w:val="auto"/>
          <w:sz w:val="32"/>
          <w:szCs w:val="32"/>
          <w:highlight w:val="none"/>
          <w:lang w:eastAsia="zh-CN"/>
        </w:rPr>
        <w:t>178.1</w:t>
      </w:r>
      <w:r>
        <w:rPr>
          <w:rFonts w:hint="eastAsia" w:ascii="仿宋_GB2312" w:hAnsi="Times New Roman" w:eastAsia="仿宋_GB2312" w:cs="Times New Roman"/>
          <w:color w:val="auto"/>
          <w:sz w:val="32"/>
          <w:szCs w:val="32"/>
          <w:highlight w:val="none"/>
          <w:lang w:val="en-US" w:eastAsia="zh-CN"/>
        </w:rPr>
        <w:t>%、占比</w:t>
      </w:r>
      <w:r>
        <w:rPr>
          <w:rFonts w:hint="default" w:ascii="仿宋_GB2312" w:eastAsia="仿宋_GB2312" w:cs="Times New Roman"/>
          <w:color w:val="auto"/>
          <w:sz w:val="32"/>
          <w:szCs w:val="32"/>
          <w:highlight w:val="none"/>
          <w:lang w:eastAsia="zh-CN"/>
        </w:rPr>
        <w:t>14.5</w:t>
      </w:r>
      <w:r>
        <w:rPr>
          <w:rFonts w:hint="eastAsia" w:ascii="仿宋_GB2312" w:hAnsi="Times New Roman" w:eastAsia="仿宋_GB2312" w:cs="Times New Roman"/>
          <w:color w:val="auto"/>
          <w:sz w:val="32"/>
          <w:szCs w:val="32"/>
          <w:highlight w:val="none"/>
          <w:lang w:val="en-US" w:eastAsia="zh-CN"/>
        </w:rPr>
        <w:t>%；来源于日本的实际利用外资</w:t>
      </w:r>
      <w:r>
        <w:rPr>
          <w:rFonts w:hint="default" w:ascii="仿宋_GB2312" w:eastAsia="仿宋_GB2312" w:cs="Times New Roman"/>
          <w:color w:val="auto"/>
          <w:sz w:val="32"/>
          <w:szCs w:val="32"/>
          <w:highlight w:val="none"/>
          <w:lang w:eastAsia="zh-CN"/>
        </w:rPr>
        <w:t>7987万</w:t>
      </w:r>
      <w:r>
        <w:rPr>
          <w:rFonts w:hint="eastAsia" w:ascii="仿宋_GB2312" w:hAnsi="Times New Roman" w:eastAsia="仿宋_GB2312" w:cs="Times New Roman"/>
          <w:color w:val="auto"/>
          <w:sz w:val="32"/>
          <w:szCs w:val="32"/>
          <w:highlight w:val="none"/>
          <w:lang w:val="en-US" w:eastAsia="zh-CN"/>
        </w:rPr>
        <w:t>美元，</w:t>
      </w:r>
      <w:r>
        <w:rPr>
          <w:rFonts w:hint="default" w:ascii="仿宋_GB2312" w:eastAsia="仿宋_GB2312" w:cs="Times New Roman"/>
          <w:color w:val="auto"/>
          <w:sz w:val="32"/>
          <w:szCs w:val="32"/>
          <w:highlight w:val="none"/>
          <w:lang w:eastAsia="zh-CN"/>
        </w:rPr>
        <w:t>增长49.0</w:t>
      </w:r>
      <w:r>
        <w:rPr>
          <w:rFonts w:hint="eastAsia" w:ascii="仿宋_GB2312" w:hAnsi="Times New Roman" w:eastAsia="仿宋_GB2312" w:cs="Times New Roman"/>
          <w:color w:val="auto"/>
          <w:sz w:val="32"/>
          <w:szCs w:val="32"/>
          <w:highlight w:val="none"/>
          <w:lang w:val="en-US" w:eastAsia="zh-CN"/>
        </w:rPr>
        <w:t>%、占比</w:t>
      </w:r>
      <w:r>
        <w:rPr>
          <w:rFonts w:hint="default" w:ascii="仿宋_GB2312" w:eastAsia="仿宋_GB2312" w:cs="Times New Roman"/>
          <w:color w:val="auto"/>
          <w:sz w:val="32"/>
          <w:szCs w:val="32"/>
          <w:highlight w:val="none"/>
          <w:lang w:eastAsia="zh-CN"/>
        </w:rPr>
        <w:t>5.8</w:t>
      </w:r>
      <w:r>
        <w:rPr>
          <w:rFonts w:hint="eastAsia" w:ascii="仿宋_GB2312" w:hAnsi="Times New Roman" w:eastAsia="仿宋_GB2312" w:cs="Times New Roman"/>
          <w:color w:val="auto"/>
          <w:sz w:val="32"/>
          <w:szCs w:val="32"/>
          <w:highlight w:val="none"/>
          <w:lang w:val="en-US" w:eastAsia="zh-CN"/>
        </w:rPr>
        <w:t>%；来源</w:t>
      </w:r>
      <w:r>
        <w:rPr>
          <w:rFonts w:hint="default" w:ascii="仿宋_GB2312" w:eastAsia="仿宋_GB2312" w:cs="Times New Roman"/>
          <w:color w:val="auto"/>
          <w:sz w:val="32"/>
          <w:szCs w:val="32"/>
          <w:highlight w:val="none"/>
          <w:lang w:eastAsia="zh-CN"/>
        </w:rPr>
        <w:t>韩国</w:t>
      </w:r>
      <w:r>
        <w:rPr>
          <w:rFonts w:hint="eastAsia" w:ascii="仿宋_GB2312" w:hAnsi="Times New Roman" w:eastAsia="仿宋_GB2312" w:cs="Times New Roman"/>
          <w:color w:val="auto"/>
          <w:sz w:val="32"/>
          <w:szCs w:val="32"/>
          <w:highlight w:val="none"/>
          <w:lang w:val="en-US" w:eastAsia="zh-CN"/>
        </w:rPr>
        <w:t>的实际利用外资</w:t>
      </w:r>
      <w:r>
        <w:rPr>
          <w:rFonts w:hint="default" w:ascii="仿宋_GB2312" w:eastAsia="仿宋_GB2312" w:cs="Times New Roman"/>
          <w:color w:val="auto"/>
          <w:sz w:val="32"/>
          <w:szCs w:val="32"/>
          <w:highlight w:val="none"/>
          <w:lang w:eastAsia="zh-CN"/>
        </w:rPr>
        <w:t>4396万</w:t>
      </w:r>
      <w:r>
        <w:rPr>
          <w:rFonts w:hint="eastAsia" w:ascii="仿宋_GB2312" w:hAnsi="Times New Roman" w:eastAsia="仿宋_GB2312" w:cs="Times New Roman"/>
          <w:color w:val="auto"/>
          <w:sz w:val="32"/>
          <w:szCs w:val="32"/>
          <w:highlight w:val="none"/>
          <w:lang w:val="en-US" w:eastAsia="zh-CN"/>
        </w:rPr>
        <w:t>美元，占比</w:t>
      </w:r>
      <w:r>
        <w:rPr>
          <w:rFonts w:hint="default" w:ascii="仿宋_GB2312" w:eastAsia="仿宋_GB2312" w:cs="Times New Roman"/>
          <w:color w:val="auto"/>
          <w:sz w:val="32"/>
          <w:szCs w:val="32"/>
          <w:highlight w:val="none"/>
          <w:lang w:eastAsia="zh-CN"/>
        </w:rPr>
        <w:t>3.2</w:t>
      </w:r>
      <w:r>
        <w:rPr>
          <w:rFonts w:hint="eastAsia" w:ascii="仿宋_GB2312" w:hAnsi="Times New Roman" w:eastAsia="仿宋_GB2312" w:cs="Times New Roman"/>
          <w:color w:val="auto"/>
          <w:sz w:val="32"/>
          <w:szCs w:val="32"/>
          <w:highlight w:val="none"/>
          <w:lang w:val="en-US" w:eastAsia="zh-CN"/>
        </w:rPr>
        <w:t>%。</w:t>
      </w:r>
    </w:p>
    <w:p>
      <w:pPr>
        <w:spacing w:line="560" w:lineRule="exact"/>
        <w:ind w:firstLine="642" w:firstLineChars="200"/>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（三）外经合作</w:t>
      </w:r>
    </w:p>
    <w:p>
      <w:pPr>
        <w:pStyle w:val="10"/>
        <w:ind w:left="0" w:leftChars="0" w:firstLine="642"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val="en-US" w:eastAsia="zh-CN"/>
        </w:rPr>
        <w:t>1.投资行业和投资方式呈现多元化。</w:t>
      </w:r>
      <w:r>
        <w:rPr>
          <w:rFonts w:hint="eastAsia" w:ascii="仿宋_GB2312" w:hAnsi="Times New Roman" w:eastAsia="仿宋_GB2312" w:cs="Times New Roman"/>
          <w:color w:val="auto"/>
          <w:sz w:val="32"/>
          <w:szCs w:val="32"/>
          <w:highlight w:val="none"/>
          <w:lang w:val="en-US" w:eastAsia="zh-CN"/>
        </w:rPr>
        <w:t>从投资行业看，涉及采矿业、制造业、批发和零售业、建筑业、科学研究和技术服务业、交通运输仓储和邮政业等6大类。其中制造业对外直接投资备案额20.4亿美元，占比82.4%；采矿业对外直接投资备案额4.2亿美元，占比17</w:t>
      </w:r>
      <w:r>
        <w:rPr>
          <w:rFonts w:hint="default" w:ascii="仿宋_GB2312" w:eastAsia="仿宋_GB2312" w:cs="Times New Roman"/>
          <w:color w:val="auto"/>
          <w:sz w:val="32"/>
          <w:szCs w:val="32"/>
          <w:highlight w:val="none"/>
          <w:lang w:eastAsia="zh-CN"/>
        </w:rPr>
        <w:t>.0</w:t>
      </w:r>
      <w:r>
        <w:rPr>
          <w:rFonts w:hint="eastAsia" w:ascii="仿宋_GB2312" w:hAnsi="Times New Roman" w:eastAsia="仿宋_GB2312" w:cs="Times New Roman"/>
          <w:color w:val="auto"/>
          <w:sz w:val="32"/>
          <w:szCs w:val="32"/>
          <w:highlight w:val="none"/>
          <w:lang w:val="en-US" w:eastAsia="zh-CN"/>
        </w:rPr>
        <w:t>%。从投资方式看，新设企业（机构）12个，投资额20亿美元，占比80.6%；并购项目3个，投资额4.3亿美元，占比17.2%；增资项目4个，投资额0.5亿美元，占比2.2%。</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b/>
          <w:bCs/>
          <w:color w:val="auto"/>
          <w:kern w:val="2"/>
          <w:sz w:val="32"/>
          <w:szCs w:val="32"/>
          <w:highlight w:val="none"/>
          <w:lang w:val="en-US" w:eastAsia="zh-CN" w:bidi="ar-SA"/>
        </w:rPr>
        <w:t>2.大项目拉动明显。</w:t>
      </w:r>
      <w:r>
        <w:rPr>
          <w:rFonts w:hint="eastAsia" w:ascii="仿宋_GB2312" w:hAnsi="Times New Roman" w:eastAsia="仿宋_GB2312" w:cs="Times New Roman"/>
          <w:color w:val="auto"/>
          <w:kern w:val="2"/>
          <w:sz w:val="32"/>
          <w:szCs w:val="32"/>
          <w:highlight w:val="none"/>
          <w:lang w:val="en-US" w:eastAsia="zh-CN" w:bidi="ar-SA"/>
        </w:rPr>
        <w:t>全市对外直接投资备案额1000万美元以上的项目4个，对外直接投资备案额24.5亿美元，占比98.9%；1亿美元以上的项目3个，对外直接投资备案额24.1亿美元，占比97.2%，代表项目为浙江华友钴业股份有限公司在津巴布韦投资的前景锂矿项目和振石控股集团有限公司在印度尼西亚新设的印尼硕石项目。</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b/>
          <w:bCs/>
          <w:color w:val="auto"/>
          <w:kern w:val="2"/>
          <w:sz w:val="32"/>
          <w:szCs w:val="32"/>
          <w:highlight w:val="none"/>
          <w:lang w:val="en-US" w:eastAsia="zh-CN" w:bidi="ar-SA"/>
        </w:rPr>
        <w:t>3.“一带一路”沿线国家投资占比高。</w:t>
      </w:r>
      <w:r>
        <w:rPr>
          <w:rFonts w:hint="eastAsia" w:ascii="仿宋_GB2312" w:hAnsi="Times New Roman" w:eastAsia="仿宋_GB2312" w:cs="Times New Roman"/>
          <w:color w:val="auto"/>
          <w:kern w:val="2"/>
          <w:sz w:val="32"/>
          <w:szCs w:val="32"/>
          <w:highlight w:val="none"/>
          <w:lang w:val="en-US" w:eastAsia="zh-CN" w:bidi="ar-SA"/>
        </w:rPr>
        <w:t>全市在“一带一路”沿线国家(含港澳台地区)投资项目共13个，对外直接投资额达20.4亿美元，占对外直接投资总额的82.3%。“一带一路”投资额居前三的国家依次是印度尼西亚、泰国、越南。</w:t>
      </w:r>
    </w:p>
    <w:p>
      <w:pPr>
        <w:spacing w:line="560" w:lineRule="exact"/>
        <w:ind w:firstLine="642" w:firstLineChars="200"/>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（四）商贸流通</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default" w:ascii="仿宋_GB2312" w:hAnsi="Times New Roman" w:eastAsia="仿宋_GB2312" w:cs="Times New Roman"/>
          <w:color w:val="auto"/>
          <w:kern w:val="2"/>
          <w:sz w:val="32"/>
          <w:szCs w:val="32"/>
          <w:highlight w:val="none"/>
          <w:lang w:eastAsia="zh-CN" w:bidi="ar-SA"/>
        </w:rPr>
      </w:pPr>
      <w:r>
        <w:rPr>
          <w:rFonts w:hint="default" w:ascii="仿宋_GB2312" w:hAnsi="Times New Roman" w:eastAsia="仿宋_GB2312" w:cs="Times New Roman"/>
          <w:b/>
          <w:bCs/>
          <w:color w:val="auto"/>
          <w:kern w:val="2"/>
          <w:sz w:val="32"/>
          <w:szCs w:val="32"/>
          <w:highlight w:val="none"/>
          <w:lang w:eastAsia="zh-CN" w:bidi="ar-SA"/>
        </w:rPr>
        <w:t>1.</w:t>
      </w:r>
      <w:r>
        <w:rPr>
          <w:rFonts w:hint="eastAsia" w:ascii="仿宋_GB2312" w:hAnsi="Times New Roman" w:eastAsia="仿宋_GB2312" w:cs="Times New Roman"/>
          <w:b/>
          <w:bCs/>
          <w:color w:val="auto"/>
          <w:kern w:val="2"/>
          <w:sz w:val="32"/>
          <w:szCs w:val="32"/>
          <w:highlight w:val="none"/>
          <w:lang w:val="en-US" w:eastAsia="zh-CN" w:bidi="ar-SA"/>
        </w:rPr>
        <w:t>生活必需品销售稳定，新能源汽车销售</w:t>
      </w:r>
      <w:r>
        <w:rPr>
          <w:rFonts w:hint="default" w:ascii="仿宋_GB2312" w:hAnsi="仿宋_GB2312" w:eastAsia="仿宋_GB2312" w:cs="仿宋_GB2312"/>
          <w:b/>
          <w:bCs/>
          <w:sz w:val="32"/>
          <w:szCs w:val="32"/>
          <w:lang w:eastAsia="zh-CN"/>
        </w:rPr>
        <w:t>逆市上扬</w:t>
      </w:r>
      <w:r>
        <w:rPr>
          <w:rFonts w:hint="eastAsia" w:ascii="仿宋_GB2312" w:hAnsi="Times New Roman" w:eastAsia="仿宋_GB2312" w:cs="Times New Roman"/>
          <w:b/>
          <w:bCs/>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分商品看，粮油食品、日用品类、中西药品类等生活必需品零售额</w:t>
      </w:r>
      <w:r>
        <w:rPr>
          <w:rFonts w:hint="eastAsia" w:ascii="仿宋_GB2312" w:hAnsi="Times New Roman" w:eastAsia="仿宋_GB2312" w:cs="Times New Roman"/>
          <w:color w:val="auto"/>
          <w:kern w:val="2"/>
          <w:sz w:val="32"/>
          <w:szCs w:val="32"/>
          <w:highlight w:val="none"/>
          <w:lang w:val="en-US" w:eastAsia="zh" w:bidi="ar-SA"/>
        </w:rPr>
        <w:t>27.</w:t>
      </w:r>
      <w:r>
        <w:rPr>
          <w:rFonts w:hint="eastAsia" w:ascii="仿宋_GB2312" w:hAnsi="Times New Roman" w:eastAsia="仿宋_GB2312" w:cs="Times New Roman"/>
          <w:color w:val="auto"/>
          <w:kern w:val="2"/>
          <w:sz w:val="32"/>
          <w:szCs w:val="32"/>
          <w:highlight w:val="none"/>
          <w:lang w:val="en-US" w:eastAsia="zh-CN" w:bidi="ar-SA"/>
        </w:rPr>
        <w:t>32亿元，增长2.9%。分行业来看，汽车类限上零售额62.9亿元，下降2.7%，其中新能源汽车零售额6.67亿元，增长2.1倍。石油及制品类限上零售额</w:t>
      </w:r>
      <w:r>
        <w:rPr>
          <w:rFonts w:hint="default" w:ascii="仿宋_GB2312" w:hAnsi="Times New Roman" w:eastAsia="仿宋_GB2312" w:cs="Times New Roman"/>
          <w:color w:val="auto"/>
          <w:kern w:val="2"/>
          <w:sz w:val="32"/>
          <w:szCs w:val="32"/>
          <w:highlight w:val="none"/>
          <w:lang w:eastAsia="zh-CN" w:bidi="ar-SA"/>
        </w:rPr>
        <w:t>增长较快，</w:t>
      </w:r>
      <w:r>
        <w:rPr>
          <w:rFonts w:hint="eastAsia" w:ascii="仿宋_GB2312" w:hAnsi="Times New Roman" w:eastAsia="仿宋_GB2312" w:cs="Times New Roman"/>
          <w:color w:val="auto"/>
          <w:kern w:val="2"/>
          <w:sz w:val="32"/>
          <w:szCs w:val="32"/>
          <w:highlight w:val="none"/>
          <w:lang w:val="en-US" w:eastAsia="zh-CN" w:bidi="ar-SA"/>
        </w:rPr>
        <w:t>零售额27.5亿元，增长19.4%</w:t>
      </w:r>
      <w:r>
        <w:rPr>
          <w:rFonts w:hint="default" w:ascii="仿宋_GB2312" w:hAnsi="Times New Roman" w:eastAsia="仿宋_GB2312" w:cs="Times New Roman"/>
          <w:color w:val="auto"/>
          <w:kern w:val="2"/>
          <w:sz w:val="32"/>
          <w:szCs w:val="32"/>
          <w:highlight w:val="none"/>
          <w:lang w:eastAsia="zh-CN" w:bidi="ar-SA"/>
        </w:rPr>
        <w:t>。</w:t>
      </w:r>
    </w:p>
    <w:p>
      <w:pPr>
        <w:ind w:firstLine="642" w:firstLineChars="200"/>
        <w:rPr>
          <w:rFonts w:hint="eastAsia" w:ascii="仿宋_GB2312" w:eastAsia="仿宋_GB2312"/>
          <w:color w:val="auto"/>
          <w:sz w:val="32"/>
          <w:szCs w:val="32"/>
          <w:highlight w:val="none"/>
          <w:lang w:eastAsia="zh-CN"/>
        </w:rPr>
      </w:pPr>
      <w:r>
        <w:rPr>
          <w:rFonts w:hint="default" w:ascii="仿宋_GB2312" w:eastAsia="仿宋_GB2312"/>
          <w:b/>
          <w:bCs/>
          <w:color w:val="auto"/>
          <w:sz w:val="32"/>
          <w:szCs w:val="32"/>
          <w:highlight w:val="none"/>
          <w:lang w:eastAsia="zh-CN"/>
        </w:rPr>
        <w:t>2.</w:t>
      </w:r>
      <w:r>
        <w:rPr>
          <w:rFonts w:hint="eastAsia" w:ascii="仿宋_GB2312" w:eastAsia="仿宋_GB2312"/>
          <w:b/>
          <w:bCs/>
          <w:color w:val="auto"/>
          <w:sz w:val="32"/>
          <w:szCs w:val="32"/>
          <w:highlight w:val="none"/>
          <w:lang w:eastAsia="zh-CN"/>
        </w:rPr>
        <w:t>重点</w:t>
      </w:r>
      <w:r>
        <w:rPr>
          <w:rFonts w:hint="default" w:ascii="仿宋_GB2312" w:eastAsia="仿宋_GB2312"/>
          <w:b/>
          <w:bCs/>
          <w:color w:val="auto"/>
          <w:sz w:val="32"/>
          <w:szCs w:val="32"/>
          <w:highlight w:val="none"/>
          <w:lang w:eastAsia="zh-CN"/>
        </w:rPr>
        <w:t>零售</w:t>
      </w:r>
      <w:r>
        <w:rPr>
          <w:rFonts w:hint="eastAsia" w:ascii="仿宋_GB2312" w:eastAsia="仿宋_GB2312"/>
          <w:b/>
          <w:bCs/>
          <w:color w:val="auto"/>
          <w:sz w:val="32"/>
          <w:szCs w:val="32"/>
          <w:highlight w:val="none"/>
          <w:lang w:eastAsia="zh-CN"/>
        </w:rPr>
        <w:t>企业增速</w:t>
      </w:r>
      <w:r>
        <w:rPr>
          <w:rFonts w:hint="default" w:ascii="仿宋_GB2312" w:eastAsia="仿宋_GB2312"/>
          <w:b/>
          <w:bCs/>
          <w:color w:val="auto"/>
          <w:sz w:val="32"/>
          <w:szCs w:val="32"/>
          <w:highlight w:val="none"/>
          <w:lang w:eastAsia="zh-CN"/>
        </w:rPr>
        <w:t>放缓</w:t>
      </w:r>
      <w:r>
        <w:rPr>
          <w:rFonts w:hint="eastAsia" w:ascii="仿宋_GB2312" w:eastAsia="仿宋_GB2312"/>
          <w:b/>
          <w:bCs/>
          <w:color w:val="auto"/>
          <w:sz w:val="32"/>
          <w:szCs w:val="32"/>
          <w:highlight w:val="none"/>
          <w:lang w:eastAsia="zh-CN"/>
        </w:rPr>
        <w:t>。</w:t>
      </w:r>
      <w:r>
        <w:rPr>
          <w:rFonts w:hint="eastAsia" w:ascii="仿宋_GB2312" w:eastAsia="仿宋_GB2312"/>
          <w:color w:val="auto"/>
          <w:sz w:val="32"/>
          <w:szCs w:val="32"/>
          <w:highlight w:val="none"/>
          <w:lang w:eastAsia="zh-CN"/>
        </w:rPr>
        <w:t>据市重点流通企业监测系统显示，全市重点监测40家零售企业累计实现商品销售额46.3亿元，</w:t>
      </w:r>
      <w:r>
        <w:rPr>
          <w:rFonts w:hint="eastAsia" w:ascii="仿宋_GB2312" w:eastAsia="仿宋_GB2312"/>
          <w:color w:val="auto"/>
          <w:sz w:val="32"/>
          <w:szCs w:val="32"/>
          <w:highlight w:val="none"/>
          <w:lang w:val="en-US" w:eastAsia="zh-CN"/>
        </w:rPr>
        <w:t>与去年持平</w:t>
      </w:r>
      <w:r>
        <w:rPr>
          <w:rFonts w:hint="eastAsia" w:ascii="仿宋_GB2312" w:eastAsia="仿宋_GB2312"/>
          <w:color w:val="auto"/>
          <w:sz w:val="32"/>
          <w:szCs w:val="32"/>
          <w:highlight w:val="none"/>
          <w:lang w:eastAsia="zh-CN"/>
        </w:rPr>
        <w:t>；8家批发企业累计实现商品销售额62.5亿元，增长</w:t>
      </w:r>
      <w:r>
        <w:rPr>
          <w:rFonts w:hint="eastAsia" w:ascii="仿宋_GB2312" w:eastAsia="仿宋_GB2312"/>
          <w:color w:val="auto"/>
          <w:sz w:val="32"/>
          <w:szCs w:val="32"/>
          <w:highlight w:val="none"/>
          <w:lang w:val="en-US" w:eastAsia="zh-CN"/>
        </w:rPr>
        <w:t>3.3</w:t>
      </w:r>
      <w:r>
        <w:rPr>
          <w:rFonts w:hint="eastAsia" w:ascii="仿宋_GB2312" w:eastAsia="仿宋_GB2312"/>
          <w:color w:val="auto"/>
          <w:sz w:val="32"/>
          <w:szCs w:val="32"/>
          <w:highlight w:val="none"/>
          <w:lang w:eastAsia="zh-CN"/>
        </w:rPr>
        <w:t>%；限上百货（超市）销售总额</w:t>
      </w:r>
      <w:r>
        <w:rPr>
          <w:rFonts w:hint="eastAsia" w:ascii="仿宋_GB2312" w:eastAsia="仿宋_GB2312"/>
          <w:color w:val="auto"/>
          <w:sz w:val="32"/>
          <w:szCs w:val="32"/>
          <w:highlight w:val="none"/>
          <w:lang w:val="en-US" w:eastAsia="zh-CN"/>
        </w:rPr>
        <w:t>30.7</w:t>
      </w:r>
      <w:r>
        <w:rPr>
          <w:rFonts w:hint="eastAsia" w:ascii="仿宋_GB2312" w:eastAsia="仿宋_GB2312"/>
          <w:color w:val="auto"/>
          <w:sz w:val="32"/>
          <w:szCs w:val="32"/>
          <w:highlight w:val="none"/>
          <w:lang w:eastAsia="zh-CN"/>
        </w:rPr>
        <w:t>亿元，</w:t>
      </w:r>
      <w:r>
        <w:rPr>
          <w:rFonts w:hint="eastAsia" w:ascii="仿宋_GB2312" w:eastAsia="仿宋_GB2312"/>
          <w:color w:val="auto"/>
          <w:sz w:val="32"/>
          <w:szCs w:val="32"/>
          <w:highlight w:val="none"/>
          <w:lang w:val="en-US" w:eastAsia="zh-CN"/>
        </w:rPr>
        <w:t>下降</w:t>
      </w:r>
      <w:r>
        <w:rPr>
          <w:rFonts w:hint="default" w:ascii="仿宋_GB2312" w:eastAsia="仿宋_GB2312"/>
          <w:color w:val="auto"/>
          <w:sz w:val="32"/>
          <w:szCs w:val="32"/>
          <w:highlight w:val="none"/>
          <w:lang w:eastAsia="zh-CN"/>
        </w:rPr>
        <w:t>3.0</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lang w:eastAsia="zh-CN"/>
        </w:rPr>
        <w:t>。</w:t>
      </w:r>
    </w:p>
    <w:p>
      <w:pPr>
        <w:pStyle w:val="9"/>
        <w:keepNext w:val="0"/>
        <w:keepLines w:val="0"/>
        <w:widowControl/>
        <w:suppressLineNumbers w:val="0"/>
        <w:spacing w:before="100" w:beforeAutospacing="0" w:after="100" w:afterAutospacing="0" w:line="400" w:lineRule="atLeast"/>
        <w:ind w:right="0" w:firstLine="642" w:firstLineChars="200"/>
        <w:jc w:val="both"/>
        <w:rPr>
          <w:rFonts w:hint="eastAsia" w:ascii="仿宋" w:hAnsi="仿宋" w:eastAsia="仿宋"/>
          <w:color w:val="000000"/>
          <w:sz w:val="21"/>
          <w:szCs w:val="21"/>
        </w:rPr>
      </w:pPr>
      <w:r>
        <w:rPr>
          <w:rFonts w:hint="default" w:ascii="仿宋_GB2312" w:hAnsi="仿宋_GB2312" w:eastAsia="仿宋_GB2312" w:cs="仿宋_GB2312"/>
          <w:b/>
          <w:bCs/>
          <w:color w:val="auto"/>
          <w:sz w:val="32"/>
          <w:szCs w:val="32"/>
          <w:highlight w:val="none"/>
          <w:lang w:eastAsia="zh-CN"/>
        </w:rPr>
        <w:t>3</w:t>
      </w:r>
      <w:r>
        <w:rPr>
          <w:rFonts w:hint="eastAsia" w:ascii="仿宋_GB2312" w:hAnsi="仿宋_GB2312" w:eastAsia="仿宋_GB2312" w:cs="仿宋_GB2312"/>
          <w:b/>
          <w:color w:val="auto"/>
          <w:sz w:val="32"/>
          <w:szCs w:val="32"/>
          <w:highlight w:val="none"/>
          <w:lang w:val="en-US" w:eastAsia="zh-CN"/>
        </w:rPr>
        <w:t>.</w:t>
      </w:r>
      <w:r>
        <w:rPr>
          <w:rFonts w:hint="eastAsia" w:ascii="仿宋_GB2312" w:hAnsi="仿宋_GB2312" w:eastAsia="仿宋_GB2312" w:cs="仿宋_GB2312"/>
          <w:b/>
          <w:color w:val="auto"/>
          <w:sz w:val="32"/>
          <w:szCs w:val="32"/>
          <w:highlight w:val="none"/>
        </w:rPr>
        <w:t>网络零售</w:t>
      </w:r>
      <w:r>
        <w:rPr>
          <w:rFonts w:hint="eastAsia" w:ascii="仿宋_GB2312" w:hAnsi="仿宋_GB2312" w:eastAsia="仿宋_GB2312" w:cs="仿宋_GB2312"/>
          <w:b/>
          <w:color w:val="auto"/>
          <w:sz w:val="32"/>
          <w:szCs w:val="32"/>
          <w:highlight w:val="none"/>
          <w:lang w:eastAsia="zh-CN"/>
        </w:rPr>
        <w:t>额</w:t>
      </w:r>
      <w:r>
        <w:rPr>
          <w:rFonts w:hint="default" w:ascii="仿宋_GB2312" w:hAnsi="仿宋_GB2312" w:eastAsia="仿宋_GB2312" w:cs="仿宋_GB2312"/>
          <w:b/>
          <w:color w:val="auto"/>
          <w:sz w:val="32"/>
          <w:szCs w:val="32"/>
          <w:highlight w:val="none"/>
          <w:lang w:eastAsia="zh-CN"/>
        </w:rPr>
        <w:t>增幅不及预期</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lang w:val="en-US"/>
        </w:rPr>
        <w:t>实现网络零售额</w:t>
      </w:r>
      <w:r>
        <w:rPr>
          <w:rFonts w:hint="eastAsia" w:ascii="仿宋_GB2312" w:hAnsi="仿宋_GB2312" w:eastAsia="仿宋_GB2312" w:cs="仿宋_GB2312"/>
          <w:color w:val="auto"/>
          <w:sz w:val="32"/>
          <w:szCs w:val="32"/>
          <w:highlight w:val="none"/>
          <w:lang w:val="en-US" w:eastAsia="zh-CN"/>
        </w:rPr>
        <w:t>353.4</w:t>
      </w:r>
      <w:r>
        <w:rPr>
          <w:rFonts w:hint="eastAsia" w:ascii="仿宋_GB2312" w:hAnsi="仿宋_GB2312" w:eastAsia="仿宋_GB2312" w:cs="仿宋_GB2312"/>
          <w:color w:val="auto"/>
          <w:sz w:val="32"/>
          <w:szCs w:val="32"/>
          <w:highlight w:val="none"/>
          <w:lang w:val="en-US"/>
        </w:rPr>
        <w:t>亿元，列全省第</w:t>
      </w:r>
      <w:r>
        <w:rPr>
          <w:rFonts w:hint="default"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rPr>
        <w:t>位，增长</w:t>
      </w:r>
      <w:r>
        <w:rPr>
          <w:rFonts w:hint="default" w:ascii="仿宋_GB2312" w:hAnsi="仿宋_GB2312" w:eastAsia="仿宋_GB2312" w:cs="仿宋_GB2312"/>
          <w:color w:val="auto"/>
          <w:sz w:val="32"/>
          <w:szCs w:val="32"/>
          <w:highlight w:val="none"/>
          <w:lang w:eastAsia="zh-CN"/>
        </w:rPr>
        <w:t>3.7</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全市</w:t>
      </w:r>
      <w:r>
        <w:rPr>
          <w:rFonts w:hint="eastAsia" w:ascii="仿宋_GB2312" w:hAnsi="仿宋_GB2312" w:eastAsia="仿宋_GB2312" w:cs="仿宋_GB2312"/>
          <w:color w:val="auto"/>
          <w:sz w:val="32"/>
          <w:szCs w:val="32"/>
          <w:highlight w:val="none"/>
          <w:lang w:val="en-US"/>
        </w:rPr>
        <w:t>网络零售额前三名的行业分别是服饰鞋包、家居家装、3C数码，占比64.7%、10.1%、7.0%。</w:t>
      </w:r>
      <w:r>
        <w:rPr>
          <w:rFonts w:hint="default" w:ascii="仿宋" w:hAnsi="仿宋" w:eastAsia="仿宋"/>
          <w:color w:val="000000"/>
          <w:sz w:val="21"/>
          <w:szCs w:val="21"/>
        </w:rPr>
        <w:t xml:space="preserve"> </w:t>
      </w:r>
    </w:p>
    <w:p>
      <w:pPr>
        <w:spacing w:line="560" w:lineRule="exact"/>
        <w:ind w:firstLine="480" w:firstLineChars="200"/>
        <w:rPr>
          <w:rFonts w:hint="eastAsia" w:ascii="楷体" w:hAnsi="楷体" w:eastAsia="楷体"/>
          <w:b/>
          <w:color w:val="auto"/>
          <w:sz w:val="32"/>
          <w:szCs w:val="32"/>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楷体_GB2312" w:hAnsi="楷体_GB2312" w:eastAsia="楷体_GB2312" w:cs="楷体_GB2312"/>
          <w:b/>
          <w:bCs w:val="0"/>
          <w:color w:val="auto"/>
          <w:sz w:val="32"/>
          <w:szCs w:val="32"/>
          <w:highlight w:val="none"/>
          <w:lang w:val="en-US" w:eastAsia="zh-CN"/>
        </w:rPr>
        <w:t>（五）服务外包</w:t>
      </w:r>
    </w:p>
    <w:p>
      <w:pPr>
        <w:ind w:firstLine="642" w:firstLineChars="200"/>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1.服务外包执行额增长较快。</w:t>
      </w:r>
      <w:r>
        <w:rPr>
          <w:rFonts w:hint="default" w:ascii="仿宋_GB2312" w:hAnsi="仿宋_GB2312" w:eastAsia="仿宋_GB2312" w:cs="仿宋_GB2312"/>
          <w:color w:val="auto"/>
          <w:sz w:val="32"/>
          <w:szCs w:val="32"/>
          <w:highlight w:val="none"/>
          <w:lang w:val="en-US" w:eastAsia="zh-CN"/>
        </w:rPr>
        <w:t>全市完成服务外包合同签约金额</w:t>
      </w:r>
      <w:r>
        <w:rPr>
          <w:rFonts w:hint="default" w:ascii="仿宋_GB2312" w:hAnsi="仿宋_GB2312" w:eastAsia="仿宋_GB2312" w:cs="仿宋_GB2312"/>
          <w:color w:val="auto"/>
          <w:sz w:val="32"/>
          <w:szCs w:val="32"/>
          <w:highlight w:val="none"/>
          <w:lang w:eastAsia="zh-CN"/>
        </w:rPr>
        <w:t>7.0</w:t>
      </w:r>
      <w:r>
        <w:rPr>
          <w:rFonts w:hint="default" w:ascii="仿宋_GB2312" w:hAnsi="仿宋_GB2312" w:eastAsia="仿宋_GB2312" w:cs="仿宋_GB2312"/>
          <w:color w:val="auto"/>
          <w:sz w:val="32"/>
          <w:szCs w:val="32"/>
          <w:highlight w:val="none"/>
          <w:lang w:val="en-US" w:eastAsia="zh-CN"/>
        </w:rPr>
        <w:t>亿元，</w:t>
      </w:r>
      <w:r>
        <w:rPr>
          <w:rFonts w:hint="default" w:ascii="仿宋_GB2312" w:hAnsi="仿宋_GB2312" w:eastAsia="仿宋_GB2312" w:cs="仿宋_GB2312"/>
          <w:color w:val="auto"/>
          <w:sz w:val="32"/>
          <w:szCs w:val="32"/>
          <w:highlight w:val="none"/>
          <w:lang w:eastAsia="zh-CN"/>
        </w:rPr>
        <w:t>下降37.9</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rPr>
        <w:t>完成服务外包执行金额</w:t>
      </w:r>
      <w:r>
        <w:rPr>
          <w:rFonts w:hint="default" w:ascii="仿宋_GB2312" w:hAnsi="仿宋_GB2312" w:eastAsia="仿宋_GB2312" w:cs="仿宋_GB2312"/>
          <w:sz w:val="32"/>
          <w:szCs w:val="32"/>
          <w:lang w:eastAsia="zh-CN"/>
        </w:rPr>
        <w:t>12.5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val="en-US" w:eastAsia="zh-CN"/>
        </w:rPr>
        <w:t>增长</w:t>
      </w:r>
      <w:r>
        <w:rPr>
          <w:rFonts w:hint="default" w:ascii="仿宋_GB2312" w:hAnsi="仿宋_GB2312" w:eastAsia="仿宋_GB2312" w:cs="仿宋_GB2312"/>
          <w:sz w:val="32"/>
          <w:szCs w:val="32"/>
          <w:lang w:eastAsia="zh-CN"/>
        </w:rPr>
        <w:t>71.1</w:t>
      </w:r>
      <w:r>
        <w:rPr>
          <w:rFonts w:hint="eastAsia" w:ascii="仿宋_GB2312" w:hAnsi="仿宋_GB2312" w:eastAsia="仿宋_GB2312" w:cs="仿宋_GB2312"/>
          <w:sz w:val="32"/>
          <w:szCs w:val="32"/>
        </w:rPr>
        <w:t>%，其中离岸外包执行金额</w:t>
      </w:r>
      <w:r>
        <w:rPr>
          <w:rFonts w:hint="default" w:ascii="仿宋_GB2312" w:hAnsi="仿宋_GB2312" w:eastAsia="仿宋_GB2312" w:cs="仿宋_GB2312"/>
          <w:sz w:val="32"/>
          <w:szCs w:val="32"/>
          <w:lang w:eastAsia="zh-CN"/>
        </w:rPr>
        <w:t>1.76亿</w:t>
      </w:r>
      <w:r>
        <w:rPr>
          <w:rFonts w:hint="eastAsia" w:ascii="仿宋_GB2312" w:hAnsi="仿宋_GB2312" w:eastAsia="仿宋_GB2312" w:cs="仿宋_GB2312"/>
          <w:sz w:val="32"/>
          <w:szCs w:val="32"/>
          <w:lang w:val="en-US" w:eastAsia="zh-CN"/>
        </w:rPr>
        <w:t>美元</w:t>
      </w:r>
      <w:r>
        <w:rPr>
          <w:rFonts w:hint="eastAsia" w:ascii="仿宋_GB2312" w:hAnsi="仿宋_GB2312" w:eastAsia="仿宋_GB2312" w:cs="仿宋_GB2312"/>
          <w:sz w:val="32"/>
          <w:szCs w:val="32"/>
        </w:rPr>
        <w:t>，增长</w:t>
      </w:r>
      <w:r>
        <w:rPr>
          <w:rFonts w:hint="default" w:ascii="仿宋_GB2312" w:hAnsi="仿宋_GB2312" w:eastAsia="仿宋_GB2312" w:cs="仿宋_GB2312"/>
          <w:sz w:val="32"/>
          <w:szCs w:val="32"/>
          <w:lang w:eastAsia="zh-CN"/>
        </w:rPr>
        <w:t>64.9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2</w:t>
      </w:r>
      <w:r>
        <w:rPr>
          <w:rFonts w:hint="eastAsia" w:ascii="仿宋_GB2312" w:hAnsi="仿宋_GB2312" w:eastAsia="仿宋_GB2312" w:cs="仿宋_GB2312"/>
          <w:b/>
          <w:bCs/>
          <w:color w:val="auto"/>
          <w:sz w:val="32"/>
          <w:szCs w:val="32"/>
          <w:highlight w:val="none"/>
          <w:lang w:val="en-US" w:eastAsia="zh-CN"/>
        </w:rPr>
        <w:t>.一带一路”沿线市场</w:t>
      </w:r>
      <w:r>
        <w:rPr>
          <w:rFonts w:hint="default" w:ascii="仿宋_GB2312" w:hAnsi="仿宋_GB2312" w:eastAsia="仿宋_GB2312" w:cs="仿宋_GB2312"/>
          <w:b/>
          <w:bCs/>
          <w:color w:val="auto"/>
          <w:sz w:val="32"/>
          <w:szCs w:val="32"/>
          <w:highlight w:val="none"/>
          <w:lang w:eastAsia="zh-CN"/>
        </w:rPr>
        <w:t>不断扩大。</w:t>
      </w:r>
      <w:r>
        <w:rPr>
          <w:rFonts w:hint="default" w:ascii="仿宋_GB2312" w:hAnsi="仿宋_GB2312" w:eastAsia="仿宋_GB2312" w:cs="仿宋_GB2312"/>
          <w:color w:val="auto"/>
          <w:sz w:val="32"/>
          <w:szCs w:val="32"/>
          <w:highlight w:val="none"/>
          <w:lang w:eastAsia="zh-CN"/>
        </w:rPr>
        <w:t>全市</w:t>
      </w:r>
      <w:r>
        <w:rPr>
          <w:rFonts w:hint="eastAsia" w:ascii="仿宋_GB2312" w:hAnsi="仿宋_GB2312" w:eastAsia="仿宋_GB2312" w:cs="仿宋_GB2312"/>
          <w:color w:val="auto"/>
          <w:sz w:val="32"/>
          <w:szCs w:val="32"/>
          <w:highlight w:val="none"/>
          <w:lang w:val="en-US" w:eastAsia="zh-CN"/>
        </w:rPr>
        <w:t>承接“一带一路”沿线国家离岸外包执行额2324.4万美元，增长29.3%。重点市场</w:t>
      </w:r>
      <w:r>
        <w:rPr>
          <w:rFonts w:hint="default" w:ascii="仿宋_GB2312" w:hAnsi="仿宋_GB2312" w:eastAsia="仿宋_GB2312" w:cs="仿宋_GB2312"/>
          <w:color w:val="auto"/>
          <w:sz w:val="32"/>
          <w:szCs w:val="32"/>
          <w:highlight w:val="none"/>
          <w:lang w:eastAsia="zh-CN"/>
        </w:rPr>
        <w:t>开拓成果显著，其中</w:t>
      </w:r>
      <w:r>
        <w:rPr>
          <w:rFonts w:hint="eastAsia" w:ascii="仿宋_GB2312" w:hAnsi="仿宋_GB2312" w:eastAsia="仿宋_GB2312" w:cs="仿宋_GB2312"/>
          <w:color w:val="auto"/>
          <w:sz w:val="32"/>
          <w:szCs w:val="32"/>
          <w:highlight w:val="none"/>
          <w:lang w:val="en-US" w:eastAsia="zh-CN"/>
        </w:rPr>
        <w:t>承接中国香港离岸外包执行额6447.9</w:t>
      </w:r>
      <w:r>
        <w:rPr>
          <w:rFonts w:hint="default"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lang w:val="en-US" w:eastAsia="zh-CN"/>
        </w:rPr>
        <w:t>美元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增长21.7%</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占离岸外包执行额的36.7%。</w:t>
      </w:r>
      <w:r>
        <w:rPr>
          <w:rFonts w:hint="default" w:ascii="仿宋_GB2312" w:hAnsi="仿宋_GB2312" w:eastAsia="仿宋_GB2312" w:cs="仿宋_GB2312"/>
          <w:color w:val="auto"/>
          <w:sz w:val="32"/>
          <w:szCs w:val="32"/>
          <w:highlight w:val="none"/>
          <w:lang w:eastAsia="zh-CN"/>
        </w:rPr>
        <w:t xml:space="preserve"> </w:t>
      </w:r>
    </w:p>
    <w:p>
      <w:pPr>
        <w:ind w:firstLine="642" w:firstLineChars="200"/>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eastAsia="zh-CN"/>
        </w:rPr>
        <w:t>3</w:t>
      </w:r>
      <w:r>
        <w:rPr>
          <w:rFonts w:hint="eastAsia" w:ascii="仿宋_GB2312" w:hAnsi="仿宋_GB2312" w:eastAsia="仿宋_GB2312" w:cs="仿宋_GB2312"/>
          <w:b/>
          <w:bCs/>
          <w:color w:val="auto"/>
          <w:sz w:val="32"/>
          <w:szCs w:val="32"/>
          <w:highlight w:val="none"/>
          <w:lang w:val="en-US" w:eastAsia="zh-CN"/>
        </w:rPr>
        <w:t>.知识流程外包占据主导地位。</w:t>
      </w:r>
      <w:r>
        <w:rPr>
          <w:rFonts w:hint="eastAsia" w:ascii="仿宋_GB2312" w:hAnsi="仿宋_GB2312" w:eastAsia="仿宋_GB2312" w:cs="仿宋_GB2312"/>
          <w:color w:val="auto"/>
          <w:sz w:val="32"/>
          <w:szCs w:val="32"/>
          <w:highlight w:val="none"/>
          <w:lang w:val="en-US" w:eastAsia="zh-CN"/>
        </w:rPr>
        <w:t>全市承接离岸信息技术外包、业务流程外包、知识流程外包执行额分别为595.0万美元、278.6万美元和1</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default" w:ascii="仿宋_GB2312" w:hAnsi="仿宋_GB2312" w:eastAsia="仿宋_GB2312" w:cs="仿宋_GB2312"/>
          <w:color w:val="auto"/>
          <w:sz w:val="32"/>
          <w:szCs w:val="32"/>
          <w:highlight w:val="none"/>
          <w:lang w:eastAsia="zh-CN"/>
        </w:rPr>
        <w:t>1亿</w:t>
      </w:r>
      <w:r>
        <w:rPr>
          <w:rFonts w:hint="eastAsia" w:ascii="仿宋_GB2312" w:hAnsi="仿宋_GB2312" w:eastAsia="仿宋_GB2312" w:cs="仿宋_GB2312"/>
          <w:color w:val="auto"/>
          <w:sz w:val="32"/>
          <w:szCs w:val="32"/>
          <w:highlight w:val="none"/>
          <w:lang w:val="en-US" w:eastAsia="zh-CN"/>
        </w:rPr>
        <w:t>美元，其中以工业设计服务</w:t>
      </w:r>
      <w:r>
        <w:rPr>
          <w:rFonts w:hint="default"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主要类型的知识流程外包是我市主要的服务外包形态，占全市总量的94.8%，增长57.0%。</w:t>
      </w:r>
    </w:p>
    <w:p>
      <w:pPr>
        <w:ind w:firstLine="642" w:firstLineChars="200"/>
        <w:rPr>
          <w:rFonts w:hint="default"/>
          <w:lang w:eastAsia="zh-CN"/>
        </w:rPr>
      </w:pPr>
      <w:r>
        <w:rPr>
          <w:rFonts w:hint="default" w:ascii="仿宋_GB2312" w:hAnsi="仿宋_GB2312" w:eastAsia="仿宋_GB2312" w:cs="仿宋_GB2312"/>
          <w:b/>
          <w:bCs/>
          <w:color w:val="auto"/>
          <w:sz w:val="32"/>
          <w:szCs w:val="32"/>
          <w:highlight w:val="none"/>
          <w:lang w:eastAsia="zh-CN"/>
        </w:rPr>
        <w:t>4.</w:t>
      </w:r>
      <w:r>
        <w:rPr>
          <w:rFonts w:hint="eastAsia" w:ascii="仿宋_GB2312" w:hAnsi="仿宋_GB2312" w:eastAsia="仿宋_GB2312" w:cs="仿宋_GB2312"/>
          <w:b/>
          <w:bCs/>
          <w:color w:val="auto"/>
          <w:sz w:val="32"/>
          <w:szCs w:val="32"/>
          <w:highlight w:val="none"/>
          <w:lang w:val="en-US" w:eastAsia="zh-CN"/>
        </w:rPr>
        <w:t>企业主体规模壮大。</w:t>
      </w:r>
      <w:r>
        <w:rPr>
          <w:rFonts w:hint="eastAsia" w:ascii="仿宋_GB2312" w:hAnsi="仿宋_GB2312" w:eastAsia="仿宋_GB2312" w:cs="仿宋_GB2312"/>
          <w:color w:val="auto"/>
          <w:sz w:val="32"/>
          <w:szCs w:val="32"/>
          <w:highlight w:val="none"/>
          <w:lang w:val="en-US" w:eastAsia="zh-CN"/>
        </w:rPr>
        <w:t>全市服务外包注册企业累计总量达775家，一季度全市有52家企业离岸执行额超过100万美元,同比增长31家，其金额占全市总量85.5%，其中立讯智造(浙江)有限公司执行金额超过1000万</w:t>
      </w:r>
      <w:r>
        <w:rPr>
          <w:rFonts w:hint="default" w:ascii="仿宋_GB2312" w:hAnsi="仿宋_GB2312" w:eastAsia="仿宋_GB2312" w:cs="仿宋_GB2312"/>
          <w:color w:val="auto"/>
          <w:sz w:val="32"/>
          <w:szCs w:val="32"/>
          <w:highlight w:val="none"/>
          <w:lang w:eastAsia="zh-CN"/>
        </w:rPr>
        <w:t>美元。</w:t>
      </w: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Droid Sans Fallback"/>
    <w:panose1 w:val="02010609060101010101"/>
    <w:charset w:val="86"/>
    <w:family w:val="modern"/>
    <w:pitch w:val="default"/>
    <w:sig w:usb0="00000000" w:usb1="00000000" w:usb2="00000016" w:usb3="00000000" w:csb0="00040001" w:csb1="00000000"/>
  </w:font>
  <w:font w:name="楷体">
    <w:altName w:val="Droid Sans Fallbac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sans-serif">
    <w:altName w:val="仿宋_GB2312"/>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7</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54061"/>
    <w:rsid w:val="013471A1"/>
    <w:rsid w:val="015D6763"/>
    <w:rsid w:val="02946F3F"/>
    <w:rsid w:val="059E47BA"/>
    <w:rsid w:val="05C329A5"/>
    <w:rsid w:val="0664012D"/>
    <w:rsid w:val="067FE564"/>
    <w:rsid w:val="078507FB"/>
    <w:rsid w:val="078D1CDE"/>
    <w:rsid w:val="083B28DD"/>
    <w:rsid w:val="0B9832D3"/>
    <w:rsid w:val="0DF21A59"/>
    <w:rsid w:val="0E2414AC"/>
    <w:rsid w:val="0E970925"/>
    <w:rsid w:val="0F6C30B8"/>
    <w:rsid w:val="13001940"/>
    <w:rsid w:val="14AD7782"/>
    <w:rsid w:val="14BF3B9D"/>
    <w:rsid w:val="15D149B9"/>
    <w:rsid w:val="17770628"/>
    <w:rsid w:val="17E51DFC"/>
    <w:rsid w:val="19D16429"/>
    <w:rsid w:val="1A647B3F"/>
    <w:rsid w:val="1CC67791"/>
    <w:rsid w:val="1D5A0761"/>
    <w:rsid w:val="1DC5285E"/>
    <w:rsid w:val="1F4378DE"/>
    <w:rsid w:val="1FD343D6"/>
    <w:rsid w:val="1FFA5D52"/>
    <w:rsid w:val="212C2F80"/>
    <w:rsid w:val="22394C8E"/>
    <w:rsid w:val="230B5D8B"/>
    <w:rsid w:val="23AF6F20"/>
    <w:rsid w:val="250407CD"/>
    <w:rsid w:val="251B2D28"/>
    <w:rsid w:val="26204132"/>
    <w:rsid w:val="27325855"/>
    <w:rsid w:val="27FFA02C"/>
    <w:rsid w:val="285415CA"/>
    <w:rsid w:val="29B35A6D"/>
    <w:rsid w:val="2A7F81B9"/>
    <w:rsid w:val="2ADE4A8A"/>
    <w:rsid w:val="2AF3A08F"/>
    <w:rsid w:val="2B5C8B9A"/>
    <w:rsid w:val="2C726A97"/>
    <w:rsid w:val="2C8B023A"/>
    <w:rsid w:val="2CF022D8"/>
    <w:rsid w:val="2CF711C7"/>
    <w:rsid w:val="2E6A26DE"/>
    <w:rsid w:val="2F67355E"/>
    <w:rsid w:val="2FD71010"/>
    <w:rsid w:val="32176FC2"/>
    <w:rsid w:val="32DE6B59"/>
    <w:rsid w:val="33303601"/>
    <w:rsid w:val="33F7E4C1"/>
    <w:rsid w:val="343C402A"/>
    <w:rsid w:val="355007CB"/>
    <w:rsid w:val="359FECEB"/>
    <w:rsid w:val="35AE48F4"/>
    <w:rsid w:val="35D7EAF0"/>
    <w:rsid w:val="36574D37"/>
    <w:rsid w:val="36836C3E"/>
    <w:rsid w:val="373761C2"/>
    <w:rsid w:val="37F8EBF7"/>
    <w:rsid w:val="37FE5AAB"/>
    <w:rsid w:val="39DD3746"/>
    <w:rsid w:val="39E704A2"/>
    <w:rsid w:val="3BDFE05B"/>
    <w:rsid w:val="3BFFA251"/>
    <w:rsid w:val="3C0205CC"/>
    <w:rsid w:val="3C273D8C"/>
    <w:rsid w:val="3C7F4B2A"/>
    <w:rsid w:val="3CEF3744"/>
    <w:rsid w:val="3DD25D93"/>
    <w:rsid w:val="3DDA79A2"/>
    <w:rsid w:val="3DDBBF3F"/>
    <w:rsid w:val="3DF6CBB5"/>
    <w:rsid w:val="3E0405F1"/>
    <w:rsid w:val="3E4D6159"/>
    <w:rsid w:val="3E7A1FDB"/>
    <w:rsid w:val="3F411FDA"/>
    <w:rsid w:val="3F7F0AAA"/>
    <w:rsid w:val="3FBB3B27"/>
    <w:rsid w:val="3FE5DAAD"/>
    <w:rsid w:val="3FEF1F9A"/>
    <w:rsid w:val="3FFD1B2E"/>
    <w:rsid w:val="3FFFECD4"/>
    <w:rsid w:val="4120723E"/>
    <w:rsid w:val="42782341"/>
    <w:rsid w:val="4426325B"/>
    <w:rsid w:val="447306F0"/>
    <w:rsid w:val="453835D6"/>
    <w:rsid w:val="45B42FEA"/>
    <w:rsid w:val="4609329D"/>
    <w:rsid w:val="46A6E19B"/>
    <w:rsid w:val="46BE2656"/>
    <w:rsid w:val="47C6289B"/>
    <w:rsid w:val="47EF628D"/>
    <w:rsid w:val="49303586"/>
    <w:rsid w:val="49764F26"/>
    <w:rsid w:val="49B83553"/>
    <w:rsid w:val="4A1B10E7"/>
    <w:rsid w:val="4B172D2E"/>
    <w:rsid w:val="4DDF2727"/>
    <w:rsid w:val="4DF21AF1"/>
    <w:rsid w:val="4E174F0E"/>
    <w:rsid w:val="4ED148FF"/>
    <w:rsid w:val="4F074F59"/>
    <w:rsid w:val="4F827D36"/>
    <w:rsid w:val="4FF7443D"/>
    <w:rsid w:val="51824485"/>
    <w:rsid w:val="52F3623E"/>
    <w:rsid w:val="53120F4A"/>
    <w:rsid w:val="53B3248E"/>
    <w:rsid w:val="55314F26"/>
    <w:rsid w:val="557673A7"/>
    <w:rsid w:val="559E5DA8"/>
    <w:rsid w:val="559F262B"/>
    <w:rsid w:val="568A62F6"/>
    <w:rsid w:val="57BDBE03"/>
    <w:rsid w:val="57DAE690"/>
    <w:rsid w:val="57F6E9CD"/>
    <w:rsid w:val="58144EB7"/>
    <w:rsid w:val="58192380"/>
    <w:rsid w:val="58B106EF"/>
    <w:rsid w:val="5B1F5606"/>
    <w:rsid w:val="5BC275A4"/>
    <w:rsid w:val="5C274087"/>
    <w:rsid w:val="5D63612C"/>
    <w:rsid w:val="5D7E16CC"/>
    <w:rsid w:val="5D8D1880"/>
    <w:rsid w:val="5DBC694F"/>
    <w:rsid w:val="5DCDBFBF"/>
    <w:rsid w:val="5DF77C65"/>
    <w:rsid w:val="5E4A3C23"/>
    <w:rsid w:val="5E772717"/>
    <w:rsid w:val="5EE74CB7"/>
    <w:rsid w:val="5EE755E4"/>
    <w:rsid w:val="5F7A4B8D"/>
    <w:rsid w:val="5FB5F10F"/>
    <w:rsid w:val="5FDAB19D"/>
    <w:rsid w:val="5FDD4B01"/>
    <w:rsid w:val="5FE730A1"/>
    <w:rsid w:val="5FEAF1B6"/>
    <w:rsid w:val="5FF6626D"/>
    <w:rsid w:val="5FFCFAF8"/>
    <w:rsid w:val="5FFF516B"/>
    <w:rsid w:val="62463D36"/>
    <w:rsid w:val="62D9013A"/>
    <w:rsid w:val="63A607B6"/>
    <w:rsid w:val="63A76EFD"/>
    <w:rsid w:val="63EF60B7"/>
    <w:rsid w:val="64007638"/>
    <w:rsid w:val="65BA1353"/>
    <w:rsid w:val="67322FB5"/>
    <w:rsid w:val="6784652A"/>
    <w:rsid w:val="69FBDEDC"/>
    <w:rsid w:val="6A06223D"/>
    <w:rsid w:val="6A3401FE"/>
    <w:rsid w:val="6ACC3362"/>
    <w:rsid w:val="6BAD08BB"/>
    <w:rsid w:val="6BB941C8"/>
    <w:rsid w:val="6BCF1BB3"/>
    <w:rsid w:val="6D7C903E"/>
    <w:rsid w:val="6DF94F3F"/>
    <w:rsid w:val="6DFC69EF"/>
    <w:rsid w:val="6DFC898E"/>
    <w:rsid w:val="6EBC17F5"/>
    <w:rsid w:val="6EDE08C0"/>
    <w:rsid w:val="6EEF025F"/>
    <w:rsid w:val="6F21136F"/>
    <w:rsid w:val="6F5207A4"/>
    <w:rsid w:val="6F6C1750"/>
    <w:rsid w:val="6F70E347"/>
    <w:rsid w:val="6FB3454F"/>
    <w:rsid w:val="6FB54061"/>
    <w:rsid w:val="6FC7CA81"/>
    <w:rsid w:val="6FFC2726"/>
    <w:rsid w:val="70410E8A"/>
    <w:rsid w:val="71AF0DEC"/>
    <w:rsid w:val="72DFD507"/>
    <w:rsid w:val="73E90D92"/>
    <w:rsid w:val="74736F51"/>
    <w:rsid w:val="74FFADB5"/>
    <w:rsid w:val="75DF074A"/>
    <w:rsid w:val="75FF62A9"/>
    <w:rsid w:val="762A7674"/>
    <w:rsid w:val="76982677"/>
    <w:rsid w:val="76EB21FF"/>
    <w:rsid w:val="76EF1547"/>
    <w:rsid w:val="76EF2910"/>
    <w:rsid w:val="773ED5E2"/>
    <w:rsid w:val="775E3353"/>
    <w:rsid w:val="777B8C3D"/>
    <w:rsid w:val="778F8FB5"/>
    <w:rsid w:val="779FC2D0"/>
    <w:rsid w:val="77A792EC"/>
    <w:rsid w:val="77FD6283"/>
    <w:rsid w:val="77FFDD60"/>
    <w:rsid w:val="78D97BB7"/>
    <w:rsid w:val="79142C61"/>
    <w:rsid w:val="79D414F4"/>
    <w:rsid w:val="79FF7658"/>
    <w:rsid w:val="7A6E5449"/>
    <w:rsid w:val="7A7BD3AA"/>
    <w:rsid w:val="7ADF1DA2"/>
    <w:rsid w:val="7AF50B19"/>
    <w:rsid w:val="7AFE7C88"/>
    <w:rsid w:val="7B3F9812"/>
    <w:rsid w:val="7B952E45"/>
    <w:rsid w:val="7BCB2D60"/>
    <w:rsid w:val="7BFE6A8A"/>
    <w:rsid w:val="7CA4649B"/>
    <w:rsid w:val="7CCF579C"/>
    <w:rsid w:val="7CFC7CCD"/>
    <w:rsid w:val="7D6C0BD6"/>
    <w:rsid w:val="7DBF069B"/>
    <w:rsid w:val="7DBF1151"/>
    <w:rsid w:val="7DBF5BF8"/>
    <w:rsid w:val="7DD98E60"/>
    <w:rsid w:val="7DFD7C1D"/>
    <w:rsid w:val="7DFE2341"/>
    <w:rsid w:val="7DFED4EE"/>
    <w:rsid w:val="7DFF1539"/>
    <w:rsid w:val="7E243EFB"/>
    <w:rsid w:val="7E596D30"/>
    <w:rsid w:val="7E755EF9"/>
    <w:rsid w:val="7E7743E1"/>
    <w:rsid w:val="7ED7150B"/>
    <w:rsid w:val="7EF8D73D"/>
    <w:rsid w:val="7EFDA349"/>
    <w:rsid w:val="7F265142"/>
    <w:rsid w:val="7F2F4E7E"/>
    <w:rsid w:val="7F5BA852"/>
    <w:rsid w:val="7F772642"/>
    <w:rsid w:val="7F7B95AE"/>
    <w:rsid w:val="7F7D2F66"/>
    <w:rsid w:val="7F7F9ACA"/>
    <w:rsid w:val="7F851BDA"/>
    <w:rsid w:val="7F9D9C5E"/>
    <w:rsid w:val="7FAFC133"/>
    <w:rsid w:val="7FBF9823"/>
    <w:rsid w:val="7FBFECD7"/>
    <w:rsid w:val="7FC741F1"/>
    <w:rsid w:val="7FD71C4C"/>
    <w:rsid w:val="7FDF1944"/>
    <w:rsid w:val="7FE64C74"/>
    <w:rsid w:val="7FF3003F"/>
    <w:rsid w:val="7FF522F7"/>
    <w:rsid w:val="7FFDD2D1"/>
    <w:rsid w:val="7FFF8EA7"/>
    <w:rsid w:val="8BFB002E"/>
    <w:rsid w:val="97FD846C"/>
    <w:rsid w:val="9EA90B4A"/>
    <w:rsid w:val="9F3F38FD"/>
    <w:rsid w:val="9FC6C67E"/>
    <w:rsid w:val="A67F57AE"/>
    <w:rsid w:val="A7FB03CE"/>
    <w:rsid w:val="A7FB8CC0"/>
    <w:rsid w:val="AAEE3978"/>
    <w:rsid w:val="AAEFCB1E"/>
    <w:rsid w:val="AD7F8C03"/>
    <w:rsid w:val="ADF7B9DF"/>
    <w:rsid w:val="AE277F13"/>
    <w:rsid w:val="AEFA95AB"/>
    <w:rsid w:val="AF7F45ED"/>
    <w:rsid w:val="AFC3532B"/>
    <w:rsid w:val="AFFF19FB"/>
    <w:rsid w:val="B3F6FEE3"/>
    <w:rsid w:val="B3FC46BE"/>
    <w:rsid w:val="B5F57327"/>
    <w:rsid w:val="B6BF51C1"/>
    <w:rsid w:val="B7987A31"/>
    <w:rsid w:val="B7EF1317"/>
    <w:rsid w:val="B9EB3D7F"/>
    <w:rsid w:val="BA1E2A82"/>
    <w:rsid w:val="BAA5367A"/>
    <w:rsid w:val="BAA74028"/>
    <w:rsid w:val="BBB73B58"/>
    <w:rsid w:val="BD7A18FA"/>
    <w:rsid w:val="BDEE3F20"/>
    <w:rsid w:val="BE5EC6C1"/>
    <w:rsid w:val="BE7F2830"/>
    <w:rsid w:val="BEBB983B"/>
    <w:rsid w:val="BEDFA7AF"/>
    <w:rsid w:val="BF6728C9"/>
    <w:rsid w:val="BF9AE5DD"/>
    <w:rsid w:val="BFE50C2C"/>
    <w:rsid w:val="BFF36E13"/>
    <w:rsid w:val="BFFEF32A"/>
    <w:rsid w:val="BFFF5D89"/>
    <w:rsid w:val="BFFF9A8A"/>
    <w:rsid w:val="BFFFA0EB"/>
    <w:rsid w:val="BFFFB891"/>
    <w:rsid w:val="C377CD0F"/>
    <w:rsid w:val="C7CF729A"/>
    <w:rsid w:val="C7F0BD9F"/>
    <w:rsid w:val="C7FDB7D5"/>
    <w:rsid w:val="CE7CF0B8"/>
    <w:rsid w:val="CFDF3C25"/>
    <w:rsid w:val="CFEF8EC6"/>
    <w:rsid w:val="CFFEC46D"/>
    <w:rsid w:val="CFFFD692"/>
    <w:rsid w:val="D0E2EA25"/>
    <w:rsid w:val="D5DE8282"/>
    <w:rsid w:val="D5FFC73C"/>
    <w:rsid w:val="D6F095ED"/>
    <w:rsid w:val="D77F01AA"/>
    <w:rsid w:val="D9FD47A5"/>
    <w:rsid w:val="DAFD834F"/>
    <w:rsid w:val="DBEF56BE"/>
    <w:rsid w:val="DBEFF2D6"/>
    <w:rsid w:val="DCF3B6DA"/>
    <w:rsid w:val="DDF39EBD"/>
    <w:rsid w:val="DF4A279E"/>
    <w:rsid w:val="DF4FD0CF"/>
    <w:rsid w:val="DF5F75A2"/>
    <w:rsid w:val="DFE7D68B"/>
    <w:rsid w:val="DFFF28E9"/>
    <w:rsid w:val="DFFFAE17"/>
    <w:rsid w:val="E47FAD3D"/>
    <w:rsid w:val="E67FDF70"/>
    <w:rsid w:val="E7FF1D5F"/>
    <w:rsid w:val="EBD7D72C"/>
    <w:rsid w:val="EBEA0754"/>
    <w:rsid w:val="EBF7B02C"/>
    <w:rsid w:val="EBF90588"/>
    <w:rsid w:val="EBFF1BE4"/>
    <w:rsid w:val="EDBD9D48"/>
    <w:rsid w:val="EEF799D8"/>
    <w:rsid w:val="EEFE54A3"/>
    <w:rsid w:val="EFB7D967"/>
    <w:rsid w:val="EFDC8B6D"/>
    <w:rsid w:val="EFEF047A"/>
    <w:rsid w:val="EFFE0361"/>
    <w:rsid w:val="F51F5F41"/>
    <w:rsid w:val="F5FC329B"/>
    <w:rsid w:val="F6DF6804"/>
    <w:rsid w:val="F6E71D9A"/>
    <w:rsid w:val="F6F6D6FF"/>
    <w:rsid w:val="F7599F98"/>
    <w:rsid w:val="F76B97FF"/>
    <w:rsid w:val="F7BF12CC"/>
    <w:rsid w:val="F7CD12A2"/>
    <w:rsid w:val="F7DD70A8"/>
    <w:rsid w:val="F7DF8D75"/>
    <w:rsid w:val="F7ED146E"/>
    <w:rsid w:val="F7EF71D7"/>
    <w:rsid w:val="F7F3ED50"/>
    <w:rsid w:val="F7FF5621"/>
    <w:rsid w:val="F7FFEB5E"/>
    <w:rsid w:val="F8ED37EC"/>
    <w:rsid w:val="F9E36164"/>
    <w:rsid w:val="FA3E651A"/>
    <w:rsid w:val="FA7F654E"/>
    <w:rsid w:val="FAF79DF5"/>
    <w:rsid w:val="FB1A10A1"/>
    <w:rsid w:val="FB3C7CAA"/>
    <w:rsid w:val="FB7D59DC"/>
    <w:rsid w:val="FBBEED00"/>
    <w:rsid w:val="FBDFCC92"/>
    <w:rsid w:val="FBE7599C"/>
    <w:rsid w:val="FBF8A0D3"/>
    <w:rsid w:val="FBFF33E5"/>
    <w:rsid w:val="FC7F5F29"/>
    <w:rsid w:val="FCF9A04B"/>
    <w:rsid w:val="FCFBB54A"/>
    <w:rsid w:val="FD4B06E2"/>
    <w:rsid w:val="FDDB2445"/>
    <w:rsid w:val="FE7ED472"/>
    <w:rsid w:val="FE9F5EE5"/>
    <w:rsid w:val="FEFE513D"/>
    <w:rsid w:val="FF35379D"/>
    <w:rsid w:val="FF53DE00"/>
    <w:rsid w:val="FF7F723F"/>
    <w:rsid w:val="FFD5A535"/>
    <w:rsid w:val="FFE9E856"/>
    <w:rsid w:val="FFEFC285"/>
    <w:rsid w:val="FFFEF5A7"/>
    <w:rsid w:val="FFFF1B66"/>
    <w:rsid w:val="FFFFC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Body Text"/>
    <w:basedOn w:val="1"/>
    <w:next w:val="5"/>
    <w:qFormat/>
    <w:uiPriority w:val="0"/>
    <w:pPr>
      <w:spacing w:after="140" w:line="276" w:lineRule="auto"/>
    </w:pPr>
  </w:style>
  <w:style w:type="paragraph" w:styleId="5">
    <w:name w:val="Body Text First Indent"/>
    <w:basedOn w:val="4"/>
    <w:next w:val="1"/>
    <w:qFormat/>
    <w:uiPriority w:val="0"/>
    <w:pPr>
      <w:ind w:firstLine="420" w:firstLineChars="100"/>
    </w:pPr>
  </w:style>
  <w:style w:type="paragraph" w:styleId="6">
    <w:name w:val="Body Text Indent"/>
    <w:basedOn w:val="1"/>
    <w:next w:val="3"/>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next w:val="4"/>
    <w:qFormat/>
    <w:uiPriority w:val="99"/>
    <w:pPr>
      <w:ind w:firstLine="420" w:firstLineChars="200"/>
    </w:pPr>
  </w:style>
  <w:style w:type="character" w:styleId="13">
    <w:name w:val="page number"/>
    <w:basedOn w:val="12"/>
    <w:qFormat/>
    <w:uiPriority w:val="0"/>
  </w:style>
  <w:style w:type="paragraph" w:styleId="1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40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2021-12-05T02:55:00Z</dcterms:created>
  <dc:creator>Administrator</dc:creator>
  <cp:lastModifiedBy>user</cp:lastModifiedBy>
  <cp:lastPrinted>2022-04-27T10:06:24Z</cp:lastPrinted>
  <dcterms:modified xsi:type="dcterms:W3CDTF">2022-04-27T11:07:32Z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