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  <w:t>嘉兴市商务运行情况简析</w:t>
      </w:r>
    </w:p>
    <w:p>
      <w:pPr>
        <w:spacing w:line="560" w:lineRule="exact"/>
        <w:jc w:val="center"/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（1-</w:t>
      </w: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月）</w:t>
      </w:r>
    </w:p>
    <w:p>
      <w:pPr>
        <w:pStyle w:val="2"/>
        <w:rPr>
          <w:rFonts w:hint="eastAsia"/>
          <w:color w:val="auto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一、商务运行总体情况</w:t>
      </w:r>
    </w:p>
    <w:p>
      <w:pPr>
        <w:pStyle w:val="9"/>
        <w:adjustRightInd w:val="0"/>
        <w:snapToGrid w:val="0"/>
        <w:spacing w:line="560" w:lineRule="exact"/>
        <w:ind w:firstLine="640"/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1-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月，全市</w:t>
      </w:r>
      <w:r>
        <w:rPr>
          <w:rFonts w:hint="default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货物贸易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进出口总额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3783.8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亿元，同比增长（下同）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24.0</w:t>
      </w:r>
      <w:r>
        <w:rPr>
          <w:rFonts w:hint="default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。其中出口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2800.8亿元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，增长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23.3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；进口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983.0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亿元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，增长</w:t>
      </w:r>
      <w:r>
        <w:rPr>
          <w:rFonts w:hint="eastAsia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26.1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海关数据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部口径新批外资项目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30.43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亿美元，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创历史新高，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位列全省第三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。新批境外投（增）资备案项目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81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个，对外直接投资备案额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15.01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美元，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总量居全省第三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。实现社会消费品零售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总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2275.0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8.7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%。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二、主要特点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（一）对外贸易</w:t>
      </w:r>
    </w:p>
    <w:p>
      <w:pPr>
        <w:spacing w:line="560" w:lineRule="exact"/>
        <w:ind w:firstLine="643" w:firstLineChars="200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1.外贸增速快于全省。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据海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关数据，1-12月，进出口、出口、进口总值均列全省第4位，其中出口位次较2020年上升1位，首次超过绍兴。进出口、出口、进口增速分列全省第5、6、7位。全市进出口增速高于全国(21.4%)、全省(22.4%) 2.6个、1.6个百分点，创15年新高。出口增速高于全国(21.2%)、全省(19.7%) 2.1个、3.6个百分点，占全国出口份额12.89‰，较2020年同期提高0.21个千分点。</w:t>
      </w:r>
    </w:p>
    <w:p>
      <w:pPr>
        <w:spacing w:line="560" w:lineRule="exact"/>
        <w:ind w:firstLine="643" w:firstLineChars="200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2.出口结构进一步优化。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机电产品、高新技术产品持续走强，拉动出口增长。机电产品、高新技术产品出口1361.5亿元、456.7亿元，增长32.5%、33.0%，占全市出口比重48.6%、16.3%。其中，其他通信设备零件出口20.6亿元，增长12.3倍，40英尺集装箱出口52.3亿元，增长3.1倍。</w:t>
      </w:r>
    </w:p>
    <w:p>
      <w:pPr>
        <w:spacing w:line="560" w:lineRule="exact"/>
        <w:ind w:firstLine="643" w:firstLineChars="200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3.重点企业出口拉动明显。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全市出口100强企业合计出口1162.5亿元，增长33.5%，占全市出口比重41.5%，较去年同期提升3.2个百分点。其中，立讯智造出口额达到136.2亿元，成为嘉兴第一家出口实绩超百亿的企业。100家重点出口企业中85家企业实现出口正增长，增幅高于全市平均的企业有60家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（二）利用外资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1.高技术产业快速增长。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全市高技术产业实际利用外资14.2亿美元，增长59.9%，占比达到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"/>
        </w:rPr>
        <w:t>46.5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%，高于去年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个百分点。平湖、海盐、海宁占比均超过60%。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.招大引强成效明显。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全市共引进总投资（增资）超亿美元产业项目73个，数量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居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全省第一。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3.主要投资来源地利用外资总体增长较快。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来源地中，香港居首位，实际利用外资21.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亿美元，增长17.6%，占全市实际利用外资总额的69.2%；占全市前五位的其余投资来源地分别为：新加坡、英属维尔京群岛、荷兰、日本，来源于新加坡的实际利用外资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2.2亿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美元，增长26.9%、占比7.4%；来源于英属维尔京群岛的实际利用外资1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美元，增长42.0%、占比4.7%；来源荷兰的实际利用外资1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美元，增长59.2%、占比4.4%；来源于日本的实际利用外资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0.79亿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美元，减少5.3%、占比2.6%。</w:t>
      </w:r>
    </w:p>
    <w:p>
      <w:pPr>
        <w:pStyle w:val="2"/>
        <w:ind w:left="0" w:leftChars="0" w:firstLine="643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.利用外资结构进一步优化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全市制造业实际利用外资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12.8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亿美元，占全市总额的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42.3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%。服务业利用外资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17.4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亿美元，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占全市总额的57.2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中商务服务业实际利用外资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4.8亿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美元，增长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31.7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%；科技推广和应用服务业实际利用外资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3.4亿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美元，增长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32.8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（三）外经合作</w:t>
      </w:r>
    </w:p>
    <w:p>
      <w:pPr>
        <w:pStyle w:val="2"/>
        <w:ind w:left="0" w:leftChars="0" w:firstLine="643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1.投资行业和投资方式呈现多元化。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投资行业以制造业和采矿业为主。其中制造业共有37个项目，对外直接投资备案额8.5亿美元、占比56.3%;采矿业共有5个项目，对外直接投资备案额2.6亿美元、占比17%。从投资方式看，新设企业（机构）44个，投资额5.97亿美元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占比39.8%；并购项目19个，投资额4.95亿美元、占比33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%；增资项目18个，投资额4.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亿美元、占比27.2%。</w:t>
      </w:r>
    </w:p>
    <w:p>
      <w:pPr>
        <w:pStyle w:val="2"/>
        <w:ind w:left="0" w:leftChars="0" w:firstLine="643" w:firstLineChars="200"/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2.大项目支撑作用明显。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全市对外直接投资备案额在1000万美元以上的项目18个，对外直接投资备案额13.7亿美元、占比91.6%；1亿美元以上的项目4个，对外直接投资备案额9.1亿美元，占比60.9%。</w:t>
      </w:r>
    </w:p>
    <w:p>
      <w:pPr>
        <w:pStyle w:val="2"/>
        <w:ind w:left="0" w:leftChars="0" w:firstLine="643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3.“一带一路”沿线国家（地区）投资活跃。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全市对外投资覆盖34个国家（地区），其中在“一带一路”沿线国家（含港澳台地区）项目27个，占总项目数33.3%。对外直接投资额10.97亿美元，占比73.1%。RCEP 区域投资较为活跃，全市在RCEP协议国家新批境外投（增）资33家，对外直接投资备案额12.8亿美元。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（四）商贸流通</w:t>
      </w:r>
    </w:p>
    <w:p>
      <w:pPr>
        <w:ind w:firstLine="619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.限上消费品市场</w:t>
      </w:r>
      <w:r>
        <w:rPr>
          <w:rFonts w:hint="default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保持</w:t>
      </w: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增长。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全市限上消费品零售额总额616.4亿元，增长9.5%。分地区来看，嘉善县、平湖市和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海盐县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社零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增速靠前，增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10.6%、10.3和10.1%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，高于全省平均0.9、0.6和0.4个百分点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ind w:firstLine="643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生活必需品市场供应稳定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全市重点监测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家零售企业累计实现商品销售额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222.2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%；8家批发企业累计实现商品销售额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313.8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11.0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主要生活必需品市场供应稳定。百货（超市）销售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保持增长，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限上百货（超市）销售总额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104.9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ind w:firstLine="643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限上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</w:rPr>
        <w:t>批发和零售业、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住宿和餐饮业稳步恢复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限上批发和零售业销售额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4937.1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34.0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%，其中限上批发业销售额增长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38.9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%,限上零售业销售额增长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%；全市限上住宿和餐饮业实现营业额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53.8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17.3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%。其中限上住宿业营业额增长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14.0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%，限上餐饮业营业额增长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19.3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 xml:space="preserve">%。 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网络零售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额稳步增长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全市实现网络零售额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2057.6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亿元，列全省第5位，增长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%。全市居民网络消费额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965.7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亿元，增长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网络零售额前三名的行业分别是服饰鞋包、家居家装、3C数码，占比65.6%、10.0%、7.3%；三大行业网络零售总额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占全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市网络零售总额的82.9%。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（五）服务外包</w:t>
      </w:r>
    </w:p>
    <w:p>
      <w:pPr>
        <w:ind w:firstLine="643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1.服务外包合同签约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额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及执行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额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实现双增长。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全市完成服务外包合同签约金额65.9亿元，增长3%；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完成服务外包执行金额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55.7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增长15.2</w:t>
      </w:r>
      <w:r>
        <w:rPr>
          <w:rFonts w:hint="eastAsia" w:ascii="仿宋_GB2312" w:hAnsi="仿宋_GB2312" w:eastAsia="仿宋_GB2312" w:cs="仿宋_GB2312"/>
          <w:sz w:val="32"/>
          <w:szCs w:val="32"/>
        </w:rPr>
        <w:t>%，其中离岸外包执行金额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6.97亿</w:t>
      </w:r>
      <w:r>
        <w:rPr>
          <w:rFonts w:hint="eastAsia" w:ascii="仿宋_GB2312" w:hAnsi="仿宋_GB2312" w:eastAsia="仿宋_GB2312" w:cs="仿宋_GB2312"/>
          <w:sz w:val="32"/>
          <w:szCs w:val="32"/>
        </w:rPr>
        <w:t>美元，增长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28.3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/>
        </w:rPr>
        <w:t>.各区县发展势头强劲。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全市各区县离岸服务外包执行额较2020年均保持正增长状态。2021年服务外包离岸执行额排名前三位的分别为：嘉善县、秀洲区、南湖区。从增长速度来看，嘉善县和海盐县表现较突出。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.重点市场增长迅速。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离岸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服务外包业务覆盖全球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7个国家和地区，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承接中国香港和美国离岸外包执行额合计4.1亿美元，占全市离岸外包执行额的59.1%。承接“一带一路”沿线国家和地区离岸外包执行额8049.2万美元，增长5.9%,占全市离岸外包执行总额的11.5%。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.知识流程外包占据主导地位。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知识流程外包执行额45.8亿元，占全市合同执行总额的82.2%；信息技术外包和业务流程外包合同执行额占比较小，分别占总量的6.8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11.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7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4061"/>
    <w:rsid w:val="013471A1"/>
    <w:rsid w:val="015D6763"/>
    <w:rsid w:val="02946F3F"/>
    <w:rsid w:val="059E47BA"/>
    <w:rsid w:val="05C329A5"/>
    <w:rsid w:val="0664012D"/>
    <w:rsid w:val="078507FB"/>
    <w:rsid w:val="078D1CDE"/>
    <w:rsid w:val="083B28DD"/>
    <w:rsid w:val="0B9832D3"/>
    <w:rsid w:val="0DF21A59"/>
    <w:rsid w:val="0E2414AC"/>
    <w:rsid w:val="0E970925"/>
    <w:rsid w:val="0F6C30B8"/>
    <w:rsid w:val="13001940"/>
    <w:rsid w:val="14AD7782"/>
    <w:rsid w:val="14BF3B9D"/>
    <w:rsid w:val="15D149B9"/>
    <w:rsid w:val="17770628"/>
    <w:rsid w:val="17E51DFC"/>
    <w:rsid w:val="19D16429"/>
    <w:rsid w:val="1A647B3F"/>
    <w:rsid w:val="1CC67791"/>
    <w:rsid w:val="1D5A0761"/>
    <w:rsid w:val="1DC5285E"/>
    <w:rsid w:val="1F4378DE"/>
    <w:rsid w:val="1FD343D6"/>
    <w:rsid w:val="212C2F80"/>
    <w:rsid w:val="22394C8E"/>
    <w:rsid w:val="230B5D8B"/>
    <w:rsid w:val="250407CD"/>
    <w:rsid w:val="251B2D28"/>
    <w:rsid w:val="26204132"/>
    <w:rsid w:val="27325855"/>
    <w:rsid w:val="285415CA"/>
    <w:rsid w:val="29B35A6D"/>
    <w:rsid w:val="2ADE4A8A"/>
    <w:rsid w:val="2C726A97"/>
    <w:rsid w:val="2C8B023A"/>
    <w:rsid w:val="2CF022D8"/>
    <w:rsid w:val="2CF711C7"/>
    <w:rsid w:val="2E6A26DE"/>
    <w:rsid w:val="2F67355E"/>
    <w:rsid w:val="2FD71010"/>
    <w:rsid w:val="32176FC2"/>
    <w:rsid w:val="32DE6B59"/>
    <w:rsid w:val="33303601"/>
    <w:rsid w:val="343C402A"/>
    <w:rsid w:val="355007CB"/>
    <w:rsid w:val="35AE48F4"/>
    <w:rsid w:val="36574D37"/>
    <w:rsid w:val="36836C3E"/>
    <w:rsid w:val="373761C2"/>
    <w:rsid w:val="39DD3746"/>
    <w:rsid w:val="39E704A2"/>
    <w:rsid w:val="3BDFE05B"/>
    <w:rsid w:val="3BFFA251"/>
    <w:rsid w:val="3C0205CC"/>
    <w:rsid w:val="3C273D8C"/>
    <w:rsid w:val="3C7F4B2A"/>
    <w:rsid w:val="3CEF3744"/>
    <w:rsid w:val="3DF6CBB5"/>
    <w:rsid w:val="3E0405F1"/>
    <w:rsid w:val="3E4D6159"/>
    <w:rsid w:val="3FE5DAAD"/>
    <w:rsid w:val="3FEF1F9A"/>
    <w:rsid w:val="4120723E"/>
    <w:rsid w:val="42782341"/>
    <w:rsid w:val="4426325B"/>
    <w:rsid w:val="447306F0"/>
    <w:rsid w:val="453835D6"/>
    <w:rsid w:val="45B42FEA"/>
    <w:rsid w:val="4609329D"/>
    <w:rsid w:val="47C6289B"/>
    <w:rsid w:val="49303586"/>
    <w:rsid w:val="49764F26"/>
    <w:rsid w:val="49B83553"/>
    <w:rsid w:val="4A1B10E7"/>
    <w:rsid w:val="4B172D2E"/>
    <w:rsid w:val="4DF21AF1"/>
    <w:rsid w:val="4E174F0E"/>
    <w:rsid w:val="4ED148FF"/>
    <w:rsid w:val="4F074F59"/>
    <w:rsid w:val="4F827D36"/>
    <w:rsid w:val="4FF7443D"/>
    <w:rsid w:val="51824485"/>
    <w:rsid w:val="52F3623E"/>
    <w:rsid w:val="53120F4A"/>
    <w:rsid w:val="53B3248E"/>
    <w:rsid w:val="55314F26"/>
    <w:rsid w:val="557673A7"/>
    <w:rsid w:val="559E5DA8"/>
    <w:rsid w:val="568A62F6"/>
    <w:rsid w:val="57DAE690"/>
    <w:rsid w:val="58144EB7"/>
    <w:rsid w:val="58B106EF"/>
    <w:rsid w:val="5B1F5606"/>
    <w:rsid w:val="5C274087"/>
    <w:rsid w:val="5D7E16CC"/>
    <w:rsid w:val="5D8D1880"/>
    <w:rsid w:val="5DBC694F"/>
    <w:rsid w:val="5DF77C65"/>
    <w:rsid w:val="5E4A3C23"/>
    <w:rsid w:val="5E772717"/>
    <w:rsid w:val="5EE74CB7"/>
    <w:rsid w:val="5EE755E4"/>
    <w:rsid w:val="5F7A4B8D"/>
    <w:rsid w:val="5FDD4B01"/>
    <w:rsid w:val="5FF6626D"/>
    <w:rsid w:val="5FFCFAF8"/>
    <w:rsid w:val="62463D36"/>
    <w:rsid w:val="62D9013A"/>
    <w:rsid w:val="63A607B6"/>
    <w:rsid w:val="63A76EFD"/>
    <w:rsid w:val="63EF60B7"/>
    <w:rsid w:val="64007638"/>
    <w:rsid w:val="65BA1353"/>
    <w:rsid w:val="67322FB5"/>
    <w:rsid w:val="6784652A"/>
    <w:rsid w:val="6A06223D"/>
    <w:rsid w:val="6A3401FE"/>
    <w:rsid w:val="6ACC3362"/>
    <w:rsid w:val="6BAD08BB"/>
    <w:rsid w:val="6BB941C8"/>
    <w:rsid w:val="6BCF1BB3"/>
    <w:rsid w:val="6DFC69EF"/>
    <w:rsid w:val="6EBC17F5"/>
    <w:rsid w:val="6EDE08C0"/>
    <w:rsid w:val="6F5207A4"/>
    <w:rsid w:val="6F6C1750"/>
    <w:rsid w:val="6F70E347"/>
    <w:rsid w:val="6FB3454F"/>
    <w:rsid w:val="6FB54061"/>
    <w:rsid w:val="6FFC2726"/>
    <w:rsid w:val="70410E8A"/>
    <w:rsid w:val="74736F51"/>
    <w:rsid w:val="75FF62A9"/>
    <w:rsid w:val="76982677"/>
    <w:rsid w:val="78D97BB7"/>
    <w:rsid w:val="79142C61"/>
    <w:rsid w:val="79D414F4"/>
    <w:rsid w:val="7A7BD3AA"/>
    <w:rsid w:val="7AF50B19"/>
    <w:rsid w:val="7B3F9812"/>
    <w:rsid w:val="7B952E45"/>
    <w:rsid w:val="7BCB2D60"/>
    <w:rsid w:val="7CA4649B"/>
    <w:rsid w:val="7CCF579C"/>
    <w:rsid w:val="7DBF069B"/>
    <w:rsid w:val="7DBF1151"/>
    <w:rsid w:val="7DBF5BF8"/>
    <w:rsid w:val="7DFD7C1D"/>
    <w:rsid w:val="7DFF1539"/>
    <w:rsid w:val="7E243EFB"/>
    <w:rsid w:val="7E596D30"/>
    <w:rsid w:val="7ED7150B"/>
    <w:rsid w:val="7EF8D73D"/>
    <w:rsid w:val="7F265142"/>
    <w:rsid w:val="7F5BA852"/>
    <w:rsid w:val="7F772642"/>
    <w:rsid w:val="7F7F9ACA"/>
    <w:rsid w:val="7F9D9C5E"/>
    <w:rsid w:val="7FAFC133"/>
    <w:rsid w:val="7FBF9823"/>
    <w:rsid w:val="7FC741F1"/>
    <w:rsid w:val="7FD71C4C"/>
    <w:rsid w:val="7FF522F7"/>
    <w:rsid w:val="7FFDD2D1"/>
    <w:rsid w:val="7FFF8EA7"/>
    <w:rsid w:val="AAEFCB1E"/>
    <w:rsid w:val="AD7F8C03"/>
    <w:rsid w:val="ADF7B9DF"/>
    <w:rsid w:val="AF7F45ED"/>
    <w:rsid w:val="B5F57327"/>
    <w:rsid w:val="B7987A31"/>
    <w:rsid w:val="BBB73B58"/>
    <w:rsid w:val="BEBB983B"/>
    <w:rsid w:val="BF9AE5DD"/>
    <w:rsid w:val="BFE50C2C"/>
    <w:rsid w:val="BFFEF32A"/>
    <w:rsid w:val="BFFFA0EB"/>
    <w:rsid w:val="C377CD0F"/>
    <w:rsid w:val="CE7CF0B8"/>
    <w:rsid w:val="CFFFD692"/>
    <w:rsid w:val="D5DE8282"/>
    <w:rsid w:val="D6F095ED"/>
    <w:rsid w:val="D77F01AA"/>
    <w:rsid w:val="D9FD47A5"/>
    <w:rsid w:val="DAFD834F"/>
    <w:rsid w:val="DBEFF2D6"/>
    <w:rsid w:val="DDF39EBD"/>
    <w:rsid w:val="DFFFAE17"/>
    <w:rsid w:val="E67FDF70"/>
    <w:rsid w:val="EBF7B02C"/>
    <w:rsid w:val="EBFF1BE4"/>
    <w:rsid w:val="EFB7D967"/>
    <w:rsid w:val="EFDC8B6D"/>
    <w:rsid w:val="EFEF047A"/>
    <w:rsid w:val="F7CD12A2"/>
    <w:rsid w:val="F7DD70A8"/>
    <w:rsid w:val="F7DF8D75"/>
    <w:rsid w:val="F7FFEB5E"/>
    <w:rsid w:val="FA7F654E"/>
    <w:rsid w:val="FAF79DF5"/>
    <w:rsid w:val="FBE7599C"/>
    <w:rsid w:val="FBF8A0D3"/>
    <w:rsid w:val="FCF9A04B"/>
    <w:rsid w:val="FF53DE00"/>
    <w:rsid w:val="FF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2021-11-30T10:55:00Z</dcterms:created>
  <dc:creator>Administrator</dc:creator>
  <cp:lastModifiedBy>Administrator</cp:lastModifiedBy>
  <cp:lastPrinted>2021-12-28T19:24:00Z</cp:lastPrinted>
  <dcterms:modified xsi:type="dcterms:W3CDTF">2022-02-13T13:56:59Z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