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  <w:t>嘉兴市商务运行情况简析</w:t>
      </w:r>
    </w:p>
    <w:p>
      <w:pPr>
        <w:spacing w:line="560" w:lineRule="exact"/>
        <w:jc w:val="center"/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（1-</w:t>
      </w:r>
      <w:r>
        <w:rPr>
          <w:rFonts w:hint="default" w:ascii="楷体_GB2312" w:hAnsi="宋体" w:eastAsia="楷体_GB2312"/>
          <w:b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月）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一、商务运行总体情况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月，全市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货物贸易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进出口总额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1281.6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亿元，同比增长（下同）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13.6%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。其中出口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919.3亿元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11.3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；进口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362.3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19.9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部口径新批外资项目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98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15.75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亿美元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位列全省第三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。新批境外投（增）资备案项目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28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个，对外直接投资备案额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26.8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美元，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总量居全省第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  <w:t>全市社会消费品零售总额</w:t>
      </w:r>
      <w:r>
        <w:rPr>
          <w:rFonts w:hint="default" w:ascii="仿宋_GB2312" w:hAnsi="宋体" w:eastAsia="仿宋_GB2312"/>
          <w:color w:val="000000"/>
          <w:sz w:val="32"/>
          <w:szCs w:val="32"/>
          <w:highlight w:val="none"/>
          <w:lang w:eastAsia="zh-CN"/>
        </w:rPr>
        <w:t>699.4</w:t>
      </w:r>
      <w:r>
        <w:rPr>
          <w:rFonts w:hint="default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  <w:t>亿元，</w:t>
      </w:r>
      <w:r>
        <w:rPr>
          <w:rFonts w:hint="default" w:ascii="仿宋_GB2312" w:hAnsi="宋体" w:eastAsia="仿宋_GB2312"/>
          <w:color w:val="000000"/>
          <w:sz w:val="32"/>
          <w:szCs w:val="32"/>
          <w:highlight w:val="none"/>
          <w:lang w:eastAsia="zh-CN"/>
        </w:rPr>
        <w:t>下降3.1</w:t>
      </w:r>
      <w:r>
        <w:rPr>
          <w:rFonts w:hint="default" w:ascii="仿宋_GB2312" w:hAnsi="宋体" w:eastAsia="仿宋_GB2312"/>
          <w:color w:val="000000"/>
          <w:sz w:val="32"/>
          <w:szCs w:val="32"/>
          <w:highlight w:val="none"/>
          <w:lang w:val="en-US" w:eastAsia="zh-CN"/>
        </w:rPr>
        <w:t>%。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1.外贸增速高于全国。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据海关数据，1-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月，全市进出口增速高于全国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5.7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个百分点，出口增速高于全国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1.0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个百分点，进口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增速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高于全国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14.9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个百分点。全市进出口、出口、进口总值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分列全省第4、5、4位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2.机电产品和劳动密集型产品出口均保持增长。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从海关产品分类情况看，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全市出口机电产品、劳动密集型产品476.4亿元、294.7亿元，分别增长14.3%、5.9%。劳动密集型产品中，箱包行业出口恢复增长，共出口15.8亿元，增长54.0%。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3.重点企业拉动出口。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全市出口100强企业合计出口438.8亿元，增长34.0%，高于全省、全市平均。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spacing w:line="560" w:lineRule="exact"/>
        <w:ind w:firstLine="642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1.高技术产业</w:t>
      </w:r>
      <w:r>
        <w:rPr>
          <w:rFonts w:hint="default" w:ascii="仿宋_GB2312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较快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增长。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全市高技术产业实际利用外资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8.6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亿美元，占比达到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"/>
        </w:rPr>
        <w:t>54.3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规模较去年同期增长8.8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个百分点。秀洲、港区、平湖、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海盐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占比均超过60%。</w:t>
      </w:r>
    </w:p>
    <w:p>
      <w:pPr>
        <w:spacing w:line="560" w:lineRule="exact"/>
        <w:ind w:firstLine="642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2.招大引强成效明显。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全市共引进总投资（增资）超亿美元产业项目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个，数量居全省第一。</w:t>
      </w:r>
    </w:p>
    <w:p>
      <w:pPr>
        <w:spacing w:line="560" w:lineRule="exact"/>
        <w:ind w:firstLine="642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.主要投资来源地利用外资</w:t>
      </w:r>
      <w:r>
        <w:rPr>
          <w:rFonts w:hint="default" w:ascii="仿宋_GB2312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有增有减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来源地中，香港居首位，实际利用外资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10.5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下降10.7%，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占全市实际利用外资总额的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66.9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%；占全市前五位的其余投资来源地分别为：新加坡、日本、英属维尔京群岛、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韩国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，来源于新加坡的实际利用外资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2.06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美元，增长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180.7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13.1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%；来源于日本的实际利用外资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7987万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36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%；来源于英属维尔京群岛的实际利用外资4521万美元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降低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46.3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，占比2.9%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；来源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韩国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4396万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2.8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pStyle w:val="2"/>
        <w:ind w:left="0" w:leftChars="0" w:firstLine="642" w:firstLineChars="20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1.投资行业和投资方式呈现多元化。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从投资行业看，涉及采矿业、制造业、批发和零售业、建筑业、科学研究和技术服务业、交通运输仓储和邮政业、租赁和商业服务业等7大类。其中制造业对外直接投资备案额20.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亿美元，占比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76.3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%；采矿业对外直接投资备案额4.2亿美元，占比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15.7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%。从投资方式看，新设企业（机构）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个，投资额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21.6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亿美元，占比80.6%；并购项目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个，投资额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4.6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亿美元，占比17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.0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2.大项目支撑作用明显。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全市对外直接投资备案额1000万美元以上的项目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6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个，对外直接投资备案额26.4亿美元，占比98.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%；1亿美元以上的项目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4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个，对外直接投资备案额2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5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亿美元，占比9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5.8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仿宋_GB2312" w:eastAsia="仿宋_GB2312" w:cs="Times New Roman"/>
          <w:b/>
          <w:bCs/>
          <w:color w:val="auto"/>
          <w:kern w:val="2"/>
          <w:sz w:val="32"/>
          <w:szCs w:val="32"/>
          <w:highlight w:val="none"/>
          <w:lang w:eastAsia="zh-CN" w:bidi="ar-SA"/>
        </w:rPr>
        <w:t>3.RCEP区域投资较为活跃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在RCEP协议国家投资项目15家，境外直接投资备案额22.2亿美元。投资地区涵盖印度尼西亚、马来西亚、新加坡、泰国、越南等5个东盟国家和日本、韩国。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eastAsia="仿宋_GB2312" w:cs="Times New Roman"/>
          <w:b/>
          <w:bCs/>
          <w:color w:val="auto"/>
          <w:kern w:val="2"/>
          <w:sz w:val="32"/>
          <w:szCs w:val="32"/>
          <w:highlight w:val="none"/>
          <w:lang w:eastAsia="zh-CN" w:bidi="ar-SA"/>
        </w:rPr>
        <w:t>4</w:t>
      </w: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.“一带一路”沿线国家投资占比高。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全市在“一带一路”沿线国家(含港澳台地区)投资项目共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17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个，对外直接投资额2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2.1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亿美元，占对外直接投资总额的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82.2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%。“一带一路”投资额居前三的国家依次是印度尼西亚、泰国、越南。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ind w:firstLine="642" w:firstLineChars="200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消费品市场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影响较大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受疫情影响，全市限上消费品零售额总额189.9亿元，下降8.7%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，较一季度回落8.9个百分点。分地区看，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嘉善、海盐和港区保持增长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经开、南湖、秀洲降幅大于全市平均，分别下降22.6%、10.8%和9.0%。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分行业来看，汽车类限上零售额73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.0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亿元，下降16.3%，占全市限上消费品零售总额的38.4%；石油及制品类限上零售额35.2亿元，增长12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0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%，占全市限上消费品零售总额的18.5%。</w:t>
      </w:r>
    </w:p>
    <w:p>
      <w:pPr>
        <w:pStyle w:val="11"/>
        <w:keepNext w:val="0"/>
        <w:keepLines w:val="0"/>
        <w:widowControl/>
        <w:suppressLineNumbers w:val="0"/>
        <w:spacing w:before="100" w:beforeAutospacing="0" w:after="100" w:afterAutospacing="0" w:line="400" w:lineRule="atLeast"/>
        <w:ind w:right="0" w:firstLine="642" w:firstLineChars="200"/>
        <w:jc w:val="both"/>
        <w:rPr>
          <w:rFonts w:hint="default" w:ascii="仿宋" w:hAnsi="仿宋" w:eastAsia="仿宋"/>
          <w:color w:val="000000"/>
          <w:sz w:val="21"/>
          <w:szCs w:val="21"/>
          <w:highlight w:val="none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2</w:t>
      </w:r>
      <w:r>
        <w:rPr>
          <w:rFonts w:hint="default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龙头企业</w:t>
      </w:r>
      <w:r>
        <w:rPr>
          <w:rFonts w:hint="default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贡献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eastAsia="zh-CN"/>
        </w:rPr>
        <w:t>不足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经开区嘉兴昊超电子商务公司零售额4.9亿元，下降41.3%，拉低全市限上零售额1.7个百分点；海宁奥特莱斯零售额4.3亿元，下降35.4%,拉低全市限上零售额1.1个百分点。</w:t>
      </w:r>
    </w:p>
    <w:p>
      <w:pPr>
        <w:pStyle w:val="11"/>
        <w:keepNext w:val="0"/>
        <w:keepLines w:val="0"/>
        <w:widowControl/>
        <w:suppressLineNumbers w:val="0"/>
        <w:spacing w:before="100" w:beforeAutospacing="0" w:after="100" w:afterAutospacing="0" w:line="400" w:lineRule="atLeast"/>
        <w:ind w:right="0" w:firstLine="642" w:firstLineChars="200"/>
        <w:jc w:val="both"/>
        <w:rPr>
          <w:rFonts w:hint="default" w:ascii="仿宋" w:hAnsi="仿宋" w:eastAsia="仿宋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网络零售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额增速放缓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实现网络零售额469.2亿元，列全省第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位，增长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2.4%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。全市网络零售额前三名的行业分别是服饰鞋包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、家居家装、3C数码，占比61.7%、11.1%、7.8%。</w:t>
      </w:r>
      <w:r>
        <w:rPr>
          <w:rFonts w:hint="default" w:ascii="仿宋" w:hAnsi="仿宋" w:eastAsia="仿宋"/>
          <w:color w:val="auto"/>
          <w:sz w:val="21"/>
          <w:szCs w:val="21"/>
          <w:highlight w:val="none"/>
        </w:rPr>
        <w:t xml:space="preserve"> 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1.离岸服务外包执行额快速增长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离岸外包执行额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美元，增长53.4%。分地区看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，平湖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、南湖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、海宁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离岸外包执行额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增幅较大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，分别增长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600.9%、184.8%、105.6%。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.重点市场和“一带一路”市场增长迅速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全市承接中国香港与美国服务外包离岸执行额1.04亿美元，占离岸服务外包执行总额的58.05%，是我市承接服务外包的两个最大市场。全市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承接“一带一路”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沿线国家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离岸外包执行额2407.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万美元，增长33.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</w:t>
      </w:r>
    </w:p>
    <w:p>
      <w:pPr>
        <w:ind w:firstLine="642" w:firstLineChars="200"/>
        <w:rPr>
          <w:rFonts w:hint="default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从产业结构分类情况看，知识流程外包执行额10.99亿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，占全市合同执行总额的85.5%，是我市服务外包产业的主要业务形态。信息技术外包和业务流程外包的合同执行额占比较小，分别占总量的6.7%和7.8%。</w:t>
      </w:r>
    </w:p>
    <w:bookmarkEnd w:id="0"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7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4061"/>
    <w:rsid w:val="013471A1"/>
    <w:rsid w:val="015D6763"/>
    <w:rsid w:val="02946F3F"/>
    <w:rsid w:val="059E47BA"/>
    <w:rsid w:val="05C329A5"/>
    <w:rsid w:val="0664012D"/>
    <w:rsid w:val="067FE564"/>
    <w:rsid w:val="078507FB"/>
    <w:rsid w:val="078D1CDE"/>
    <w:rsid w:val="083B28DD"/>
    <w:rsid w:val="0B9832D3"/>
    <w:rsid w:val="0DBBBCFC"/>
    <w:rsid w:val="0DF21A59"/>
    <w:rsid w:val="0E2414AC"/>
    <w:rsid w:val="0E970925"/>
    <w:rsid w:val="0F6C30B8"/>
    <w:rsid w:val="13001940"/>
    <w:rsid w:val="14AD7782"/>
    <w:rsid w:val="14BF3B9D"/>
    <w:rsid w:val="15D149B9"/>
    <w:rsid w:val="17770628"/>
    <w:rsid w:val="17E51DFC"/>
    <w:rsid w:val="19D16429"/>
    <w:rsid w:val="1A647B3F"/>
    <w:rsid w:val="1CC67791"/>
    <w:rsid w:val="1D5A0761"/>
    <w:rsid w:val="1DC5285E"/>
    <w:rsid w:val="1F4378DE"/>
    <w:rsid w:val="1FD343D6"/>
    <w:rsid w:val="1FDF5997"/>
    <w:rsid w:val="1FFA5D52"/>
    <w:rsid w:val="212C2F80"/>
    <w:rsid w:val="22394C8E"/>
    <w:rsid w:val="230B5D8B"/>
    <w:rsid w:val="23AF6F20"/>
    <w:rsid w:val="250407CD"/>
    <w:rsid w:val="251B2D28"/>
    <w:rsid w:val="26204132"/>
    <w:rsid w:val="27325855"/>
    <w:rsid w:val="277F6E4A"/>
    <w:rsid w:val="27FFA02C"/>
    <w:rsid w:val="285415CA"/>
    <w:rsid w:val="29B35A6D"/>
    <w:rsid w:val="2A7F81B9"/>
    <w:rsid w:val="2ADE4A8A"/>
    <w:rsid w:val="2AF3A08F"/>
    <w:rsid w:val="2B5C8B9A"/>
    <w:rsid w:val="2C726A97"/>
    <w:rsid w:val="2C8B023A"/>
    <w:rsid w:val="2CF022D8"/>
    <w:rsid w:val="2CF711C7"/>
    <w:rsid w:val="2E6A26DE"/>
    <w:rsid w:val="2F67355E"/>
    <w:rsid w:val="2FD71010"/>
    <w:rsid w:val="32176FC2"/>
    <w:rsid w:val="32DE6B59"/>
    <w:rsid w:val="33303601"/>
    <w:rsid w:val="33F7E4C1"/>
    <w:rsid w:val="343C402A"/>
    <w:rsid w:val="355007CB"/>
    <w:rsid w:val="359FECEB"/>
    <w:rsid w:val="35AE48F4"/>
    <w:rsid w:val="35D7EAF0"/>
    <w:rsid w:val="36574D37"/>
    <w:rsid w:val="36836C3E"/>
    <w:rsid w:val="36EA1C74"/>
    <w:rsid w:val="373761C2"/>
    <w:rsid w:val="37F8EBF7"/>
    <w:rsid w:val="37FE5AAB"/>
    <w:rsid w:val="39DD3746"/>
    <w:rsid w:val="39E704A2"/>
    <w:rsid w:val="3BDFE05B"/>
    <w:rsid w:val="3BFFA251"/>
    <w:rsid w:val="3C0205CC"/>
    <w:rsid w:val="3C273D8C"/>
    <w:rsid w:val="3C7F4B2A"/>
    <w:rsid w:val="3CEF3744"/>
    <w:rsid w:val="3DD25D93"/>
    <w:rsid w:val="3DDA79A2"/>
    <w:rsid w:val="3DDBBF3F"/>
    <w:rsid w:val="3DF6CBB5"/>
    <w:rsid w:val="3E0405F1"/>
    <w:rsid w:val="3E4D6159"/>
    <w:rsid w:val="3E7A1FDB"/>
    <w:rsid w:val="3EFD5E41"/>
    <w:rsid w:val="3EFE26AB"/>
    <w:rsid w:val="3F411FDA"/>
    <w:rsid w:val="3F7F0AAA"/>
    <w:rsid w:val="3FBB3B27"/>
    <w:rsid w:val="3FE5DAAD"/>
    <w:rsid w:val="3FEF1F9A"/>
    <w:rsid w:val="3FFD1B2E"/>
    <w:rsid w:val="3FFFECD4"/>
    <w:rsid w:val="4120723E"/>
    <w:rsid w:val="42782341"/>
    <w:rsid w:val="4426325B"/>
    <w:rsid w:val="447306F0"/>
    <w:rsid w:val="453835D6"/>
    <w:rsid w:val="45B42FEA"/>
    <w:rsid w:val="4609329D"/>
    <w:rsid w:val="46A6E19B"/>
    <w:rsid w:val="46BE2656"/>
    <w:rsid w:val="47C6289B"/>
    <w:rsid w:val="47EF628D"/>
    <w:rsid w:val="49303586"/>
    <w:rsid w:val="49764F26"/>
    <w:rsid w:val="49B83553"/>
    <w:rsid w:val="4A1B10E7"/>
    <w:rsid w:val="4B172D2E"/>
    <w:rsid w:val="4DDF2727"/>
    <w:rsid w:val="4DF21AF1"/>
    <w:rsid w:val="4E174F0E"/>
    <w:rsid w:val="4ED148FF"/>
    <w:rsid w:val="4F074F59"/>
    <w:rsid w:val="4F827D36"/>
    <w:rsid w:val="4FCD3607"/>
    <w:rsid w:val="4FE964AF"/>
    <w:rsid w:val="4FF7443D"/>
    <w:rsid w:val="4FFFFBFA"/>
    <w:rsid w:val="51824485"/>
    <w:rsid w:val="52F3623E"/>
    <w:rsid w:val="53120F4A"/>
    <w:rsid w:val="53B3248E"/>
    <w:rsid w:val="55314F26"/>
    <w:rsid w:val="557673A7"/>
    <w:rsid w:val="559E5DA8"/>
    <w:rsid w:val="559F262B"/>
    <w:rsid w:val="568A62F6"/>
    <w:rsid w:val="57BDBE03"/>
    <w:rsid w:val="57BFE48A"/>
    <w:rsid w:val="57DAE690"/>
    <w:rsid w:val="57F6E9CD"/>
    <w:rsid w:val="58144EB7"/>
    <w:rsid w:val="58192380"/>
    <w:rsid w:val="58B106EF"/>
    <w:rsid w:val="5B1F5606"/>
    <w:rsid w:val="5BC275A4"/>
    <w:rsid w:val="5BF7BDAF"/>
    <w:rsid w:val="5C274087"/>
    <w:rsid w:val="5D63612C"/>
    <w:rsid w:val="5D7E16CC"/>
    <w:rsid w:val="5D8D1880"/>
    <w:rsid w:val="5DBC694F"/>
    <w:rsid w:val="5DCDBFBF"/>
    <w:rsid w:val="5DF77C65"/>
    <w:rsid w:val="5E4A3C23"/>
    <w:rsid w:val="5E772717"/>
    <w:rsid w:val="5EE74CB7"/>
    <w:rsid w:val="5EE755E4"/>
    <w:rsid w:val="5F7A4B8D"/>
    <w:rsid w:val="5FB5F10F"/>
    <w:rsid w:val="5FDAB19D"/>
    <w:rsid w:val="5FDD4B01"/>
    <w:rsid w:val="5FE730A1"/>
    <w:rsid w:val="5FEAF1B6"/>
    <w:rsid w:val="5FF6626D"/>
    <w:rsid w:val="5FFCFAF8"/>
    <w:rsid w:val="5FFE48D2"/>
    <w:rsid w:val="5FFF516B"/>
    <w:rsid w:val="62463D36"/>
    <w:rsid w:val="62D9013A"/>
    <w:rsid w:val="63A607B6"/>
    <w:rsid w:val="63A76EFD"/>
    <w:rsid w:val="63EF60B7"/>
    <w:rsid w:val="64007638"/>
    <w:rsid w:val="65BA1353"/>
    <w:rsid w:val="67322FB5"/>
    <w:rsid w:val="6784652A"/>
    <w:rsid w:val="67BFAAD5"/>
    <w:rsid w:val="67FB8699"/>
    <w:rsid w:val="69FBDEDC"/>
    <w:rsid w:val="6A06223D"/>
    <w:rsid w:val="6A3401FE"/>
    <w:rsid w:val="6ACC3362"/>
    <w:rsid w:val="6BAD08BB"/>
    <w:rsid w:val="6BB941C8"/>
    <w:rsid w:val="6BCF1BB3"/>
    <w:rsid w:val="6BD789D0"/>
    <w:rsid w:val="6CFDDE10"/>
    <w:rsid w:val="6D7C903E"/>
    <w:rsid w:val="6DF94F3F"/>
    <w:rsid w:val="6DFC69EF"/>
    <w:rsid w:val="6DFC898E"/>
    <w:rsid w:val="6EBC17F5"/>
    <w:rsid w:val="6EDE08C0"/>
    <w:rsid w:val="6EEF025F"/>
    <w:rsid w:val="6F21136F"/>
    <w:rsid w:val="6F5207A4"/>
    <w:rsid w:val="6F6C1750"/>
    <w:rsid w:val="6F70E347"/>
    <w:rsid w:val="6FA0977A"/>
    <w:rsid w:val="6FAF4364"/>
    <w:rsid w:val="6FB3454F"/>
    <w:rsid w:val="6FB54061"/>
    <w:rsid w:val="6FC7CA81"/>
    <w:rsid w:val="6FEB5F61"/>
    <w:rsid w:val="6FFC2726"/>
    <w:rsid w:val="70410E8A"/>
    <w:rsid w:val="717F5C4C"/>
    <w:rsid w:val="71AF0DEC"/>
    <w:rsid w:val="72DFD507"/>
    <w:rsid w:val="73E90D92"/>
    <w:rsid w:val="74736F51"/>
    <w:rsid w:val="74FFADB5"/>
    <w:rsid w:val="75DF074A"/>
    <w:rsid w:val="75EF350F"/>
    <w:rsid w:val="75FF62A9"/>
    <w:rsid w:val="762A7674"/>
    <w:rsid w:val="76982677"/>
    <w:rsid w:val="76EB21FF"/>
    <w:rsid w:val="76EF1547"/>
    <w:rsid w:val="76EF2910"/>
    <w:rsid w:val="773ED5E2"/>
    <w:rsid w:val="775E3353"/>
    <w:rsid w:val="777B8C3D"/>
    <w:rsid w:val="778F8FB5"/>
    <w:rsid w:val="779FC2D0"/>
    <w:rsid w:val="77A792EC"/>
    <w:rsid w:val="77B76459"/>
    <w:rsid w:val="77D799E2"/>
    <w:rsid w:val="77DE8ABC"/>
    <w:rsid w:val="77EDC215"/>
    <w:rsid w:val="77FD6283"/>
    <w:rsid w:val="77FF43F9"/>
    <w:rsid w:val="77FFDD60"/>
    <w:rsid w:val="789D0D04"/>
    <w:rsid w:val="78D97BB7"/>
    <w:rsid w:val="79142C61"/>
    <w:rsid w:val="79D414F4"/>
    <w:rsid w:val="79FF7658"/>
    <w:rsid w:val="7A6E5449"/>
    <w:rsid w:val="7A7BD3AA"/>
    <w:rsid w:val="7ADF1DA2"/>
    <w:rsid w:val="7AF50B19"/>
    <w:rsid w:val="7AFE7C88"/>
    <w:rsid w:val="7B3F9812"/>
    <w:rsid w:val="7B952E45"/>
    <w:rsid w:val="7BB74899"/>
    <w:rsid w:val="7BCB2D60"/>
    <w:rsid w:val="7BF71B59"/>
    <w:rsid w:val="7BFE6A8A"/>
    <w:rsid w:val="7BFFD2A7"/>
    <w:rsid w:val="7CA4649B"/>
    <w:rsid w:val="7CCF579C"/>
    <w:rsid w:val="7CF564CF"/>
    <w:rsid w:val="7CFC7CCD"/>
    <w:rsid w:val="7D5F122E"/>
    <w:rsid w:val="7D6C0BD6"/>
    <w:rsid w:val="7DBF069B"/>
    <w:rsid w:val="7DBF1151"/>
    <w:rsid w:val="7DBF5BF8"/>
    <w:rsid w:val="7DD98E60"/>
    <w:rsid w:val="7DFD7C1D"/>
    <w:rsid w:val="7DFE2341"/>
    <w:rsid w:val="7DFED4EE"/>
    <w:rsid w:val="7DFF1539"/>
    <w:rsid w:val="7E243EFB"/>
    <w:rsid w:val="7E596D30"/>
    <w:rsid w:val="7E6BB41C"/>
    <w:rsid w:val="7E755EF9"/>
    <w:rsid w:val="7E7743E1"/>
    <w:rsid w:val="7ED7150B"/>
    <w:rsid w:val="7EF8D73D"/>
    <w:rsid w:val="7EF8E99F"/>
    <w:rsid w:val="7EFDA349"/>
    <w:rsid w:val="7EFE9F67"/>
    <w:rsid w:val="7F265142"/>
    <w:rsid w:val="7F2F4E7E"/>
    <w:rsid w:val="7F5BA852"/>
    <w:rsid w:val="7F5BCD4C"/>
    <w:rsid w:val="7F772642"/>
    <w:rsid w:val="7F7B95AE"/>
    <w:rsid w:val="7F7D2D60"/>
    <w:rsid w:val="7F7D2F66"/>
    <w:rsid w:val="7F7F9ACA"/>
    <w:rsid w:val="7F851BDA"/>
    <w:rsid w:val="7F8E1F61"/>
    <w:rsid w:val="7F9D9C5E"/>
    <w:rsid w:val="7FAFC133"/>
    <w:rsid w:val="7FBF9823"/>
    <w:rsid w:val="7FBF9EB9"/>
    <w:rsid w:val="7FBFECD7"/>
    <w:rsid w:val="7FC741F1"/>
    <w:rsid w:val="7FD71C4C"/>
    <w:rsid w:val="7FDF1944"/>
    <w:rsid w:val="7FE64C74"/>
    <w:rsid w:val="7FF3003F"/>
    <w:rsid w:val="7FF522F7"/>
    <w:rsid w:val="7FF53767"/>
    <w:rsid w:val="7FF8292F"/>
    <w:rsid w:val="7FF872B0"/>
    <w:rsid w:val="7FF9EADA"/>
    <w:rsid w:val="7FFA8D70"/>
    <w:rsid w:val="7FFDD2D1"/>
    <w:rsid w:val="7FFF8EA7"/>
    <w:rsid w:val="7FFF93BC"/>
    <w:rsid w:val="89EB0D39"/>
    <w:rsid w:val="8BFB002E"/>
    <w:rsid w:val="97FD846C"/>
    <w:rsid w:val="9EA90B4A"/>
    <w:rsid w:val="9F3F38FD"/>
    <w:rsid w:val="9FC6C67E"/>
    <w:rsid w:val="A67F57AE"/>
    <w:rsid w:val="A6957D4F"/>
    <w:rsid w:val="A7FB03CE"/>
    <w:rsid w:val="A7FB8CC0"/>
    <w:rsid w:val="AAEE3978"/>
    <w:rsid w:val="AAEFCB1E"/>
    <w:rsid w:val="ACFDC6FD"/>
    <w:rsid w:val="AD7F8C03"/>
    <w:rsid w:val="ADD3024C"/>
    <w:rsid w:val="ADF7B9DF"/>
    <w:rsid w:val="AE277F13"/>
    <w:rsid w:val="AEFA95AB"/>
    <w:rsid w:val="AEFEDDBE"/>
    <w:rsid w:val="AF7F45ED"/>
    <w:rsid w:val="AFC3532B"/>
    <w:rsid w:val="AFE830B8"/>
    <w:rsid w:val="AFFF19FB"/>
    <w:rsid w:val="B3F6FEE3"/>
    <w:rsid w:val="B3FC46BE"/>
    <w:rsid w:val="B5F57327"/>
    <w:rsid w:val="B6BF51C1"/>
    <w:rsid w:val="B7987A31"/>
    <w:rsid w:val="B7BFC985"/>
    <w:rsid w:val="B7EF1317"/>
    <w:rsid w:val="B9EB3D7F"/>
    <w:rsid w:val="BA1E2A82"/>
    <w:rsid w:val="BAA5367A"/>
    <w:rsid w:val="BAA74028"/>
    <w:rsid w:val="BBB73B58"/>
    <w:rsid w:val="BBFF5FC1"/>
    <w:rsid w:val="BBFFC421"/>
    <w:rsid w:val="BD7A18FA"/>
    <w:rsid w:val="BDEE3F20"/>
    <w:rsid w:val="BE5EC6C1"/>
    <w:rsid w:val="BE7F2830"/>
    <w:rsid w:val="BEBB983B"/>
    <w:rsid w:val="BEDFA7AF"/>
    <w:rsid w:val="BF6728C9"/>
    <w:rsid w:val="BF9AE5DD"/>
    <w:rsid w:val="BFE50C2C"/>
    <w:rsid w:val="BFF36E13"/>
    <w:rsid w:val="BFFEF32A"/>
    <w:rsid w:val="BFFF5D89"/>
    <w:rsid w:val="BFFF9A8A"/>
    <w:rsid w:val="BFFFA0EB"/>
    <w:rsid w:val="BFFFB891"/>
    <w:rsid w:val="C377CD0F"/>
    <w:rsid w:val="C3D3B655"/>
    <w:rsid w:val="C5FF777D"/>
    <w:rsid w:val="C7CF729A"/>
    <w:rsid w:val="C7F0BD9F"/>
    <w:rsid w:val="C7FDB7D5"/>
    <w:rsid w:val="CB6F3866"/>
    <w:rsid w:val="CC6F8D04"/>
    <w:rsid w:val="CCDFBABA"/>
    <w:rsid w:val="CD1E4E96"/>
    <w:rsid w:val="CE7CF0B8"/>
    <w:rsid w:val="CFDF3C25"/>
    <w:rsid w:val="CFE7F381"/>
    <w:rsid w:val="CFEF36E7"/>
    <w:rsid w:val="CFEF8EC6"/>
    <w:rsid w:val="CFFEC46D"/>
    <w:rsid w:val="CFFFC5B2"/>
    <w:rsid w:val="CFFFD692"/>
    <w:rsid w:val="D0E2EA25"/>
    <w:rsid w:val="D5DE8282"/>
    <w:rsid w:val="D5FFC73C"/>
    <w:rsid w:val="D6F095ED"/>
    <w:rsid w:val="D77F01AA"/>
    <w:rsid w:val="D9FD47A5"/>
    <w:rsid w:val="DA36E9E9"/>
    <w:rsid w:val="DAFD834F"/>
    <w:rsid w:val="DBD1F632"/>
    <w:rsid w:val="DBEF56BE"/>
    <w:rsid w:val="DBEFF2D6"/>
    <w:rsid w:val="DCF3B6DA"/>
    <w:rsid w:val="DDF39EBD"/>
    <w:rsid w:val="DECED0F4"/>
    <w:rsid w:val="DEDFADAC"/>
    <w:rsid w:val="DF4A279E"/>
    <w:rsid w:val="DF4FD0CF"/>
    <w:rsid w:val="DF5F75A2"/>
    <w:rsid w:val="DFAA8151"/>
    <w:rsid w:val="DFE7D68B"/>
    <w:rsid w:val="DFEDE235"/>
    <w:rsid w:val="DFFF28E9"/>
    <w:rsid w:val="DFFFAE17"/>
    <w:rsid w:val="E47FAD3D"/>
    <w:rsid w:val="E67B3F95"/>
    <w:rsid w:val="E67FDF70"/>
    <w:rsid w:val="E7EF3CCF"/>
    <w:rsid w:val="E7FF1D5F"/>
    <w:rsid w:val="EBD7D72C"/>
    <w:rsid w:val="EBEA0754"/>
    <w:rsid w:val="EBF7B02C"/>
    <w:rsid w:val="EBF90588"/>
    <w:rsid w:val="EBFF1BE4"/>
    <w:rsid w:val="ED5D443E"/>
    <w:rsid w:val="EDBD9D48"/>
    <w:rsid w:val="EEF799D8"/>
    <w:rsid w:val="EEFE54A3"/>
    <w:rsid w:val="EF73C499"/>
    <w:rsid w:val="EF7F5120"/>
    <w:rsid w:val="EF7FC77B"/>
    <w:rsid w:val="EFB7D967"/>
    <w:rsid w:val="EFBD015E"/>
    <w:rsid w:val="EFDC8B6D"/>
    <w:rsid w:val="EFEF047A"/>
    <w:rsid w:val="EFFE0361"/>
    <w:rsid w:val="EFFF8A03"/>
    <w:rsid w:val="F4EF3F55"/>
    <w:rsid w:val="F51F5F41"/>
    <w:rsid w:val="F57762AD"/>
    <w:rsid w:val="F5FC329B"/>
    <w:rsid w:val="F6DF6804"/>
    <w:rsid w:val="F6E71D9A"/>
    <w:rsid w:val="F6F6D6FF"/>
    <w:rsid w:val="F7599F98"/>
    <w:rsid w:val="F76B97FF"/>
    <w:rsid w:val="F7BF12CC"/>
    <w:rsid w:val="F7CD12A2"/>
    <w:rsid w:val="F7DD70A8"/>
    <w:rsid w:val="F7DDBC3B"/>
    <w:rsid w:val="F7DF8D75"/>
    <w:rsid w:val="F7EB6558"/>
    <w:rsid w:val="F7ED146E"/>
    <w:rsid w:val="F7EF71D7"/>
    <w:rsid w:val="F7F3ED50"/>
    <w:rsid w:val="F7FF5621"/>
    <w:rsid w:val="F7FFEB5E"/>
    <w:rsid w:val="F8ED37EC"/>
    <w:rsid w:val="F9898121"/>
    <w:rsid w:val="F9E36164"/>
    <w:rsid w:val="F9FFA557"/>
    <w:rsid w:val="FA3E651A"/>
    <w:rsid w:val="FA7F654E"/>
    <w:rsid w:val="FADAC6B8"/>
    <w:rsid w:val="FAF79DF5"/>
    <w:rsid w:val="FB1A10A1"/>
    <w:rsid w:val="FB3C7CAA"/>
    <w:rsid w:val="FB7D59DC"/>
    <w:rsid w:val="FBBEED00"/>
    <w:rsid w:val="FBDFCC92"/>
    <w:rsid w:val="FBE7599C"/>
    <w:rsid w:val="FBEFE0F4"/>
    <w:rsid w:val="FBF8A0D3"/>
    <w:rsid w:val="FBFD1CF0"/>
    <w:rsid w:val="FBFF33E5"/>
    <w:rsid w:val="FC7F5F29"/>
    <w:rsid w:val="FCF9A04B"/>
    <w:rsid w:val="FCFBB54A"/>
    <w:rsid w:val="FCFC8DCE"/>
    <w:rsid w:val="FD4B06E2"/>
    <w:rsid w:val="FD655230"/>
    <w:rsid w:val="FD6C67B5"/>
    <w:rsid w:val="FD9F27DE"/>
    <w:rsid w:val="FDDB2445"/>
    <w:rsid w:val="FE7ED472"/>
    <w:rsid w:val="FE9F5EE5"/>
    <w:rsid w:val="FEB30E74"/>
    <w:rsid w:val="FEFD2019"/>
    <w:rsid w:val="FEFE513D"/>
    <w:rsid w:val="FEFF8B16"/>
    <w:rsid w:val="FF1F1B61"/>
    <w:rsid w:val="FF35379D"/>
    <w:rsid w:val="FF53DE00"/>
    <w:rsid w:val="FF7F1124"/>
    <w:rsid w:val="FF7F723F"/>
    <w:rsid w:val="FFB77E16"/>
    <w:rsid w:val="FFBB15EC"/>
    <w:rsid w:val="FFCF5B7D"/>
    <w:rsid w:val="FFD5A535"/>
    <w:rsid w:val="FFDFE0C7"/>
    <w:rsid w:val="FFE15730"/>
    <w:rsid w:val="FFE3DF70"/>
    <w:rsid w:val="FFE9E856"/>
    <w:rsid w:val="FFEFC285"/>
    <w:rsid w:val="FFEFD362"/>
    <w:rsid w:val="FFF7BABE"/>
    <w:rsid w:val="FFFAEE7F"/>
    <w:rsid w:val="FFFEF5A7"/>
    <w:rsid w:val="FFFF1B66"/>
    <w:rsid w:val="FFFFCFCA"/>
    <w:rsid w:val="FFFFF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Body Text"/>
    <w:basedOn w:val="1"/>
    <w:next w:val="7"/>
    <w:qFormat/>
    <w:uiPriority w:val="0"/>
    <w:pPr>
      <w:spacing w:after="140" w:line="276" w:lineRule="auto"/>
    </w:pPr>
  </w:style>
  <w:style w:type="paragraph" w:styleId="7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page number"/>
    <w:basedOn w:val="13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2021-12-07T18:55:00Z</dcterms:created>
  <dc:creator>Administrator</dc:creator>
  <cp:lastModifiedBy>user</cp:lastModifiedBy>
  <cp:lastPrinted>2022-05-31T23:10:00Z</cp:lastPrinted>
  <dcterms:modified xsi:type="dcterms:W3CDTF">2022-06-16T16:45:35Z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