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/>
          <w:color w:val="auto"/>
          <w:sz w:val="44"/>
          <w:szCs w:val="44"/>
          <w:highlight w:val="none"/>
        </w:rPr>
        <w:t>嘉兴市商务运行情况简析</w:t>
      </w:r>
    </w:p>
    <w:p>
      <w:pPr>
        <w:spacing w:line="560" w:lineRule="exact"/>
        <w:jc w:val="center"/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</w:pP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（1-</w:t>
      </w:r>
      <w:r>
        <w:rPr>
          <w:rFonts w:hint="default" w:ascii="楷体_GB2312" w:hAnsi="宋体" w:eastAsia="楷体_GB2312"/>
          <w:b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楷体_GB2312" w:hAnsi="宋体" w:eastAsia="楷体_GB2312"/>
          <w:b/>
          <w:color w:val="auto"/>
          <w:sz w:val="32"/>
          <w:szCs w:val="32"/>
          <w:highlight w:val="none"/>
        </w:rPr>
        <w:t>月）</w:t>
      </w:r>
    </w:p>
    <w:p>
      <w:pPr>
        <w:pStyle w:val="2"/>
        <w:rPr>
          <w:rFonts w:hint="eastAsia"/>
          <w:color w:val="auto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一、商务运行总体情况</w:t>
      </w:r>
    </w:p>
    <w:p>
      <w:pPr>
        <w:pStyle w:val="9"/>
        <w:adjustRightInd w:val="0"/>
        <w:snapToGrid w:val="0"/>
        <w:spacing w:line="560" w:lineRule="exact"/>
        <w:ind w:firstLine="640"/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1-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月，全市</w:t>
      </w:r>
      <w:r>
        <w:rPr>
          <w:rFonts w:hint="default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货物贸易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进出口总额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642.7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亿元，同比增长（下同）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22.3</w:t>
      </w:r>
      <w:r>
        <w:rPr>
          <w:rFonts w:hint="default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。其中出口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475.3亿元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，增长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19.4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；进口</w:t>
      </w:r>
      <w:r>
        <w:rPr>
          <w:rFonts w:hint="default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eastAsia="zh-CN" w:bidi="ar-SA"/>
        </w:rPr>
        <w:t>167.4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亿元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，增长</w:t>
      </w:r>
      <w:r>
        <w:rPr>
          <w:rFonts w:hint="eastAsia" w:ascii="仿宋_GB2312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31.2</w:t>
      </w:r>
      <w:r>
        <w:rPr>
          <w:rFonts w:hint="eastAsia" w:ascii="仿宋_GB2312" w:hAnsi="Calibri" w:eastAsia="仿宋_GB2312" w:cs="Times New Roman"/>
          <w:color w:val="auto"/>
          <w:spacing w:val="0"/>
          <w:kern w:val="2"/>
          <w:sz w:val="32"/>
          <w:szCs w:val="32"/>
          <w:highlight w:val="none"/>
          <w:u w:val="none"/>
          <w:lang w:val="en-US" w:eastAsia="zh-CN" w:bidi="ar-SA"/>
        </w:rPr>
        <w:t>%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海关数据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部口径新批外资项目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49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7.86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亿美元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位列全省第三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。新批境外投（增）资备案项目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6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个，对外直接投资备案额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4.78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美元，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总量居全省第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。实现社会消费品零售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总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376.2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4.8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%。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二、主要特点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（一）对外贸易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1.外贸进出口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保持较快增长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据海关数据，1-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月，进出口、出口、进口总值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分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列全省第4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、5、4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位。全市进出口增速分别高于全国9.0个百分点，低于全省3.5个百分点。出口增速分别高于全国5.8个百分点、低于全省7.5个百分点，占全国出口份额13.691‰，较2021年同期提高0.668个千分点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进口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增速分别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高于全国、全省18.3个、8.6个百分点。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（二）利用外资</w:t>
      </w:r>
    </w:p>
    <w:p>
      <w:pPr>
        <w:spacing w:line="560" w:lineRule="exact"/>
        <w:ind w:firstLine="642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1.高技术产业快速增长。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全市高技术产业实际利用外资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4.04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亿美元，占比达到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"/>
        </w:rPr>
        <w:t>51.4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%，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规模较去年同期增长8.2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个百分点。南湖、秀洲、港区、平湖占比均超过60%。</w:t>
      </w:r>
    </w:p>
    <w:p>
      <w:pPr>
        <w:spacing w:line="560" w:lineRule="exact"/>
        <w:ind w:firstLine="642" w:firstLineChars="200"/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.增资扩产强劲。</w:t>
      </w:r>
      <w:r>
        <w:rPr>
          <w:rFonts w:hint="default" w:ascii="仿宋_GB2312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全市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共有18家外资企业增资，总增资金额达3.12亿美元，增长26.3%，其中华友浦项、浙江浦华、巴斯夫高纯电子化学品、红忠钢板加工4家企业增资超过1000万美元</w:t>
      </w:r>
      <w:r>
        <w:rPr>
          <w:rFonts w:hint="default" w:ascii="仿宋_GB2312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2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3.主要投资来源地利用外资有增有减。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全市实际利用外资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主要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来源地中，香港居首位，实际利用外资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4.81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亿美元，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下降5.6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%，占全市实际利用外资总额的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61.2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%；占全市前五位的其余投资来源地分别为：新加坡、英属维尔京群岛、荷兰、日本，来源于新加坡的实际利用外资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1.95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美元，增长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405.2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%、占比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24.8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%；来源于英属维尔京群岛的实际利用外资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2584万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降低40.2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%、占比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3.3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%；来源荷兰的实际利用外资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1412万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美元，占比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1.8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%；来源于日本的实际利用外资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1142万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美元，减少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62.7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%、占比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1.5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pStyle w:val="2"/>
        <w:ind w:left="0" w:leftChars="0"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服务业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利用外资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增长较快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全市制造业实际利用外资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1.86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亿美元，占全市总额的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23.6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%。服务业利用外资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5.99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亿美元，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44.3%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占全市总额的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76.4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中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软件和信息技术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服务业实际利用外资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8301万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美元，增长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3.2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%；科技推广和应用服务业实际利用外资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1.69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美元，增长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59.6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（三）外经合作</w:t>
      </w:r>
    </w:p>
    <w:p>
      <w:pPr>
        <w:pStyle w:val="2"/>
        <w:ind w:left="0" w:leftChars="0" w:firstLine="642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1.投资领域以采矿业为主。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从投资行业看，涉及采矿业、制造业、批发和零售业等3大类。其中采矿业对外直接投资备案额4.22亿美元、占比</w:t>
      </w:r>
      <w:r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88.4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%;制造业对外直接投资备案额5428.6万美元，占比11.4%。从投资方式看，新设企业（机构）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个，投资额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120万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占比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0.3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%；并购项目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个，投资额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4.27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亿美元、占比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89.4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%；增资项目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个，投资额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4942万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美元、占比</w:t>
      </w:r>
      <w:r>
        <w:rPr>
          <w:rFonts w:hint="default" w:ascii="仿宋_GB2312" w:eastAsia="仿宋_GB2312" w:cs="Times New Roman"/>
          <w:color w:val="auto"/>
          <w:sz w:val="32"/>
          <w:szCs w:val="32"/>
          <w:highlight w:val="none"/>
          <w:lang w:eastAsia="zh-CN"/>
        </w:rPr>
        <w:t>10.3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ind w:firstLine="642" w:firstLineChars="200"/>
        <w:rPr>
          <w:rFonts w:hint="eastAsia" w:ascii="仿宋_GB2312" w:hAnsi="Calibri" w:eastAsia="仿宋_GB2312" w:cs="Times New Roman"/>
          <w:snapToGrid w:val="0"/>
          <w:color w:val="000000" w:themeColor="text1"/>
          <w:spacing w:val="-6"/>
          <w:kern w:val="0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.“一带一路”沿线投资项目较多。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全市在“一带一路”沿线国家(含港澳台地区)投资项目6个，占总项目数的66.7%，对外直接投资额4582.9万美元，主要分布在越南、新加坡等国家和地区。 </w:t>
      </w:r>
    </w:p>
    <w:p>
      <w:pPr>
        <w:ind w:firstLine="642" w:firstLineChars="200"/>
        <w:rPr>
          <w:rFonts w:hint="default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3.大项目支撑作用明显。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全市对外直接投资备案额1000万美元以上的项目2个，对外直接投资备案额4.62亿美元，占比96.7%；1亿美元以上的项目1个，由浙江华友钴业股份有限公司在津巴布韦投资的锂矿项目。</w:t>
      </w:r>
    </w:p>
    <w:p>
      <w:pPr>
        <w:spacing w:line="560" w:lineRule="exact"/>
        <w:ind w:firstLine="642" w:firstLineChars="200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（四）商贸流通</w:t>
      </w:r>
    </w:p>
    <w:p>
      <w:pPr>
        <w:ind w:firstLine="642" w:firstLineChars="200"/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1.各地区增长不均衡。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全市限上消费品零售总额106.</w:t>
      </w:r>
      <w:r>
        <w:rPr>
          <w:rFonts w:hint="default" w:ascii="仿宋_GB2312" w:eastAsia="仿宋_GB2312" w:cs="Times New Roman"/>
          <w:color w:val="auto"/>
          <w:kern w:val="2"/>
          <w:sz w:val="32"/>
          <w:szCs w:val="32"/>
          <w:highlight w:val="none"/>
          <w:lang w:eastAsia="zh-CN" w:bidi="ar-SA"/>
        </w:rPr>
        <w:t>3</w:t>
      </w:r>
      <w:r>
        <w:rPr>
          <w:rFonts w:hint="default" w:ascii="仿宋_GB2312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亿元，增长4.5%。分地区来看，平湖市、嘉兴港区和桐乡市限上消费品零售总额增速居全市前三，分别增长19.8%、18.2%和16.4%。经开区、南湖区和秀洲区增速低于全市平均，分别下降15.7%、增长4.4%和增长2.7%。 </w:t>
      </w:r>
    </w:p>
    <w:p>
      <w:pPr>
        <w:ind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限上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</w:rPr>
        <w:t>批发和零售业、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住宿和餐饮业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</w:rPr>
        <w:t>增速放缓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限上批发和零售业销售额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813.2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18.7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%，其中限上批发业销售额增长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21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%,限上零售业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销售额增长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6.2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%；全市限上住宿和餐饮业实现营业额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9.2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13.1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%。其中限上住宿业营业额增长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16.0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%，限上餐饮业营业额增长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11.8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 xml:space="preserve">%。 </w:t>
      </w:r>
    </w:p>
    <w:p>
      <w:pPr>
        <w:ind w:firstLine="642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重点企业增速</w:t>
      </w:r>
      <w:r>
        <w:rPr>
          <w:rFonts w:hint="default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放缓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据商贸流通业系统数据显示，全市重点监测40家零售企业累计实现商品销售额38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与去年持平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；8家批发企业累计实现商品销售额59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.0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%；限上百货（超市）销售总额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22.6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亿元，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下降1.7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。其中，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海宁奥特莱斯销售额下降53.9%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拉低全市限上消费品零售总额1个百分点。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网络零售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额稳步增长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全市实现网络零售额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228.1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亿元，列全省第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位，增长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7.4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网络零售额前三名的行业分别是服饰鞋包、家居家装、3C数码，占比68.2%、8.6%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</w:rPr>
        <w:t>、6.8%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/>
        </w:rPr>
        <w:t>。</w:t>
      </w:r>
    </w:p>
    <w:p>
      <w:pPr>
        <w:spacing w:line="560" w:lineRule="exact"/>
        <w:ind w:firstLine="480" w:firstLineChars="200"/>
        <w:rPr>
          <w:rFonts w:hint="eastAsia" w:ascii="楷体" w:hAnsi="楷体" w:eastAsia="楷体"/>
          <w:b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lang w:val="en-US" w:eastAsia="zh-CN"/>
        </w:rPr>
        <w:t>（五）服务外包</w:t>
      </w:r>
    </w:p>
    <w:p>
      <w:pPr>
        <w:ind w:firstLine="642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1.服务外包合同签约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额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及执行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额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实现双增长。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全市完成服务外包合同签约金额2.8亿元，增长120.6%；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完成服务外包执行金额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4.2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增长31.4</w:t>
      </w:r>
      <w:r>
        <w:rPr>
          <w:rFonts w:hint="eastAsia" w:ascii="仿宋_GB2312" w:hAnsi="仿宋_GB2312" w:eastAsia="仿宋_GB2312" w:cs="仿宋_GB2312"/>
          <w:sz w:val="32"/>
          <w:szCs w:val="32"/>
        </w:rPr>
        <w:t>%，其中离岸外包执行金额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6344.2万美元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40.4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.重点市场增长迅速。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离岸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服务外包业务覆盖全球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92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个国家和地区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承接中国香港和美国离岸外包执行额合计2864.7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美元，占全市离岸外包执行额的45.2%。承接“一带一路”沿线国家和地区离岸外包执行额1390.0万美元，与去年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基本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持平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.知识流程外包占据主导地位。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知识流程外包执行额3.98亿元，占全市合同执行总额的94.7%；信息技术外包和业务流程外包合同执行额占比较小，分别占总量的0.4%和4.8%。</w:t>
      </w:r>
    </w:p>
    <w:p>
      <w:pPr>
        <w:pStyle w:val="2"/>
        <w:rPr>
          <w:rFonts w:hint="default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7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4061"/>
    <w:rsid w:val="013471A1"/>
    <w:rsid w:val="015D6763"/>
    <w:rsid w:val="02946F3F"/>
    <w:rsid w:val="059E47BA"/>
    <w:rsid w:val="05C329A5"/>
    <w:rsid w:val="0664012D"/>
    <w:rsid w:val="067FE564"/>
    <w:rsid w:val="078507FB"/>
    <w:rsid w:val="078D1CDE"/>
    <w:rsid w:val="083B28DD"/>
    <w:rsid w:val="0B9832D3"/>
    <w:rsid w:val="0DF21A59"/>
    <w:rsid w:val="0E2414AC"/>
    <w:rsid w:val="0E970925"/>
    <w:rsid w:val="0F6C30B8"/>
    <w:rsid w:val="13001940"/>
    <w:rsid w:val="14AD7782"/>
    <w:rsid w:val="14BF3B9D"/>
    <w:rsid w:val="15D149B9"/>
    <w:rsid w:val="17770628"/>
    <w:rsid w:val="17E51DFC"/>
    <w:rsid w:val="19D16429"/>
    <w:rsid w:val="1A647B3F"/>
    <w:rsid w:val="1CC67791"/>
    <w:rsid w:val="1D5A0761"/>
    <w:rsid w:val="1DC5285E"/>
    <w:rsid w:val="1F4378DE"/>
    <w:rsid w:val="1FD343D6"/>
    <w:rsid w:val="212C2F80"/>
    <w:rsid w:val="22394C8E"/>
    <w:rsid w:val="230B5D8B"/>
    <w:rsid w:val="250407CD"/>
    <w:rsid w:val="251B2D28"/>
    <w:rsid w:val="26204132"/>
    <w:rsid w:val="27325855"/>
    <w:rsid w:val="27FFA02C"/>
    <w:rsid w:val="285415CA"/>
    <w:rsid w:val="29B35A6D"/>
    <w:rsid w:val="2ADE4A8A"/>
    <w:rsid w:val="2B5C8B9A"/>
    <w:rsid w:val="2C726A97"/>
    <w:rsid w:val="2C8B023A"/>
    <w:rsid w:val="2CF022D8"/>
    <w:rsid w:val="2CF711C7"/>
    <w:rsid w:val="2E6A26DE"/>
    <w:rsid w:val="2F67355E"/>
    <w:rsid w:val="2FD71010"/>
    <w:rsid w:val="32176FC2"/>
    <w:rsid w:val="32DE6B59"/>
    <w:rsid w:val="33303601"/>
    <w:rsid w:val="343C402A"/>
    <w:rsid w:val="355007CB"/>
    <w:rsid w:val="359FECEB"/>
    <w:rsid w:val="35AE48F4"/>
    <w:rsid w:val="35D7EAF0"/>
    <w:rsid w:val="36574D37"/>
    <w:rsid w:val="36836C3E"/>
    <w:rsid w:val="373761C2"/>
    <w:rsid w:val="37F8EBF7"/>
    <w:rsid w:val="39DD3746"/>
    <w:rsid w:val="39E704A2"/>
    <w:rsid w:val="3BDFE05B"/>
    <w:rsid w:val="3BFFA251"/>
    <w:rsid w:val="3C0205CC"/>
    <w:rsid w:val="3C273D8C"/>
    <w:rsid w:val="3C7F4B2A"/>
    <w:rsid w:val="3CEF3744"/>
    <w:rsid w:val="3DDA79A2"/>
    <w:rsid w:val="3DDBBF3F"/>
    <w:rsid w:val="3DF6CBB5"/>
    <w:rsid w:val="3E0405F1"/>
    <w:rsid w:val="3E4D6159"/>
    <w:rsid w:val="3F411FDA"/>
    <w:rsid w:val="3F7F0AAA"/>
    <w:rsid w:val="3FE5DAAD"/>
    <w:rsid w:val="3FEF1F9A"/>
    <w:rsid w:val="3FFFECD4"/>
    <w:rsid w:val="4120723E"/>
    <w:rsid w:val="42782341"/>
    <w:rsid w:val="4426325B"/>
    <w:rsid w:val="447306F0"/>
    <w:rsid w:val="453835D6"/>
    <w:rsid w:val="45B42FEA"/>
    <w:rsid w:val="4609329D"/>
    <w:rsid w:val="46BE2656"/>
    <w:rsid w:val="47C6289B"/>
    <w:rsid w:val="47EF628D"/>
    <w:rsid w:val="49303586"/>
    <w:rsid w:val="49764F26"/>
    <w:rsid w:val="49B83553"/>
    <w:rsid w:val="4A1B10E7"/>
    <w:rsid w:val="4B172D2E"/>
    <w:rsid w:val="4DF21AF1"/>
    <w:rsid w:val="4E174F0E"/>
    <w:rsid w:val="4ED148FF"/>
    <w:rsid w:val="4F074F59"/>
    <w:rsid w:val="4F827D36"/>
    <w:rsid w:val="4FF7443D"/>
    <w:rsid w:val="51824485"/>
    <w:rsid w:val="52F3623E"/>
    <w:rsid w:val="53120F4A"/>
    <w:rsid w:val="53B3248E"/>
    <w:rsid w:val="55314F26"/>
    <w:rsid w:val="557673A7"/>
    <w:rsid w:val="559E5DA8"/>
    <w:rsid w:val="568A62F6"/>
    <w:rsid w:val="57DAE690"/>
    <w:rsid w:val="58144EB7"/>
    <w:rsid w:val="58192380"/>
    <w:rsid w:val="58B106EF"/>
    <w:rsid w:val="5B1F5606"/>
    <w:rsid w:val="5C274087"/>
    <w:rsid w:val="5D63612C"/>
    <w:rsid w:val="5D7E16CC"/>
    <w:rsid w:val="5D8D1880"/>
    <w:rsid w:val="5DBC694F"/>
    <w:rsid w:val="5DF77C65"/>
    <w:rsid w:val="5E4A3C23"/>
    <w:rsid w:val="5E772717"/>
    <w:rsid w:val="5EE74CB7"/>
    <w:rsid w:val="5EE755E4"/>
    <w:rsid w:val="5F7A4B8D"/>
    <w:rsid w:val="5FDAB19D"/>
    <w:rsid w:val="5FDD4B01"/>
    <w:rsid w:val="5FF6626D"/>
    <w:rsid w:val="5FFCFAF8"/>
    <w:rsid w:val="62463D36"/>
    <w:rsid w:val="62D9013A"/>
    <w:rsid w:val="63A607B6"/>
    <w:rsid w:val="63A76EFD"/>
    <w:rsid w:val="63EF60B7"/>
    <w:rsid w:val="64007638"/>
    <w:rsid w:val="65BA1353"/>
    <w:rsid w:val="67322FB5"/>
    <w:rsid w:val="6784652A"/>
    <w:rsid w:val="6A06223D"/>
    <w:rsid w:val="6A3401FE"/>
    <w:rsid w:val="6ACC3362"/>
    <w:rsid w:val="6BAD08BB"/>
    <w:rsid w:val="6BB941C8"/>
    <w:rsid w:val="6BCF1BB3"/>
    <w:rsid w:val="6D7C903E"/>
    <w:rsid w:val="6DFC69EF"/>
    <w:rsid w:val="6EBC17F5"/>
    <w:rsid w:val="6EDE08C0"/>
    <w:rsid w:val="6EEF025F"/>
    <w:rsid w:val="6F5207A4"/>
    <w:rsid w:val="6F6C1750"/>
    <w:rsid w:val="6F70E347"/>
    <w:rsid w:val="6FB3454F"/>
    <w:rsid w:val="6FB54061"/>
    <w:rsid w:val="6FFC2726"/>
    <w:rsid w:val="70410E8A"/>
    <w:rsid w:val="72DFD507"/>
    <w:rsid w:val="73E90D92"/>
    <w:rsid w:val="74736F51"/>
    <w:rsid w:val="75FF62A9"/>
    <w:rsid w:val="76982677"/>
    <w:rsid w:val="76EF1547"/>
    <w:rsid w:val="76EF2910"/>
    <w:rsid w:val="77FFDD60"/>
    <w:rsid w:val="78D97BB7"/>
    <w:rsid w:val="79142C61"/>
    <w:rsid w:val="79D414F4"/>
    <w:rsid w:val="7A7BD3AA"/>
    <w:rsid w:val="7AF50B19"/>
    <w:rsid w:val="7AFE7C88"/>
    <w:rsid w:val="7B3F9812"/>
    <w:rsid w:val="7B952E45"/>
    <w:rsid w:val="7BCB2D60"/>
    <w:rsid w:val="7BFE6A8A"/>
    <w:rsid w:val="7CA4649B"/>
    <w:rsid w:val="7CCF579C"/>
    <w:rsid w:val="7D6C0BD6"/>
    <w:rsid w:val="7DBF069B"/>
    <w:rsid w:val="7DBF1151"/>
    <w:rsid w:val="7DBF5BF8"/>
    <w:rsid w:val="7DD98E60"/>
    <w:rsid w:val="7DFD7C1D"/>
    <w:rsid w:val="7DFE2341"/>
    <w:rsid w:val="7DFF1539"/>
    <w:rsid w:val="7E243EFB"/>
    <w:rsid w:val="7E596D30"/>
    <w:rsid w:val="7ED7150B"/>
    <w:rsid w:val="7EF8D73D"/>
    <w:rsid w:val="7F265142"/>
    <w:rsid w:val="7F5BA852"/>
    <w:rsid w:val="7F772642"/>
    <w:rsid w:val="7F7B95AE"/>
    <w:rsid w:val="7F7D2F66"/>
    <w:rsid w:val="7F7F9ACA"/>
    <w:rsid w:val="7F851BDA"/>
    <w:rsid w:val="7F9D9C5E"/>
    <w:rsid w:val="7FAFC133"/>
    <w:rsid w:val="7FBF9823"/>
    <w:rsid w:val="7FC741F1"/>
    <w:rsid w:val="7FD71C4C"/>
    <w:rsid w:val="7FDF1944"/>
    <w:rsid w:val="7FE64C74"/>
    <w:rsid w:val="7FF522F7"/>
    <w:rsid w:val="7FFDD2D1"/>
    <w:rsid w:val="7FFF8EA7"/>
    <w:rsid w:val="A7FB03CE"/>
    <w:rsid w:val="A7FB8CC0"/>
    <w:rsid w:val="AAEFCB1E"/>
    <w:rsid w:val="AD7F8C03"/>
    <w:rsid w:val="ADF7B9DF"/>
    <w:rsid w:val="AE277F13"/>
    <w:rsid w:val="AF7F45ED"/>
    <w:rsid w:val="B5F57327"/>
    <w:rsid w:val="B7987A31"/>
    <w:rsid w:val="B7EF1317"/>
    <w:rsid w:val="BA1E2A82"/>
    <w:rsid w:val="BAA5367A"/>
    <w:rsid w:val="BBB73B58"/>
    <w:rsid w:val="BDEE3F20"/>
    <w:rsid w:val="BE5EC6C1"/>
    <w:rsid w:val="BE7F2830"/>
    <w:rsid w:val="BEBB983B"/>
    <w:rsid w:val="BF9AE5DD"/>
    <w:rsid w:val="BFE50C2C"/>
    <w:rsid w:val="BFF36E13"/>
    <w:rsid w:val="BFFEF32A"/>
    <w:rsid w:val="BFFF5D89"/>
    <w:rsid w:val="BFFFA0EB"/>
    <w:rsid w:val="C377CD0F"/>
    <w:rsid w:val="C7CF729A"/>
    <w:rsid w:val="CE7CF0B8"/>
    <w:rsid w:val="CFDF3C25"/>
    <w:rsid w:val="CFFFD692"/>
    <w:rsid w:val="D0E2EA25"/>
    <w:rsid w:val="D5DE8282"/>
    <w:rsid w:val="D6F095ED"/>
    <w:rsid w:val="D77F01AA"/>
    <w:rsid w:val="D9FD47A5"/>
    <w:rsid w:val="DAFD834F"/>
    <w:rsid w:val="DBEFF2D6"/>
    <w:rsid w:val="DCF3B6DA"/>
    <w:rsid w:val="DDF39EBD"/>
    <w:rsid w:val="DF4FD0CF"/>
    <w:rsid w:val="DF5F75A2"/>
    <w:rsid w:val="DFE7D68B"/>
    <w:rsid w:val="DFFFAE17"/>
    <w:rsid w:val="E67FDF70"/>
    <w:rsid w:val="E7FF1D5F"/>
    <w:rsid w:val="EBEA0754"/>
    <w:rsid w:val="EBF7B02C"/>
    <w:rsid w:val="EBFF1BE4"/>
    <w:rsid w:val="EFB7D967"/>
    <w:rsid w:val="EFDC8B6D"/>
    <w:rsid w:val="EFEF047A"/>
    <w:rsid w:val="EFFE0361"/>
    <w:rsid w:val="F5FC329B"/>
    <w:rsid w:val="F76B97FF"/>
    <w:rsid w:val="F7CD12A2"/>
    <w:rsid w:val="F7DD70A8"/>
    <w:rsid w:val="F7DF8D75"/>
    <w:rsid w:val="F7ED146E"/>
    <w:rsid w:val="F7EF71D7"/>
    <w:rsid w:val="F7FF5621"/>
    <w:rsid w:val="F7FFEB5E"/>
    <w:rsid w:val="F9E36164"/>
    <w:rsid w:val="FA7F654E"/>
    <w:rsid w:val="FAF79DF5"/>
    <w:rsid w:val="FB7D59DC"/>
    <w:rsid w:val="FBBEED00"/>
    <w:rsid w:val="FBE7599C"/>
    <w:rsid w:val="FBF8A0D3"/>
    <w:rsid w:val="FBFF33E5"/>
    <w:rsid w:val="FC7F5F29"/>
    <w:rsid w:val="FCF9A04B"/>
    <w:rsid w:val="FCFBB54A"/>
    <w:rsid w:val="FDDB2445"/>
    <w:rsid w:val="FF35379D"/>
    <w:rsid w:val="FF53DE00"/>
    <w:rsid w:val="FF7F723F"/>
    <w:rsid w:val="FFD5A535"/>
    <w:rsid w:val="FFEFC285"/>
    <w:rsid w:val="FFFEF5A7"/>
    <w:rsid w:val="FF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2021-12-02T18:55:00Z</dcterms:created>
  <dc:creator>Administrator</dc:creator>
  <cp:lastModifiedBy>user</cp:lastModifiedBy>
  <cp:lastPrinted>2022-04-01T14:28:42Z</cp:lastPrinted>
  <dcterms:modified xsi:type="dcterms:W3CDTF">2022-04-01T14:42:14Z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