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关于打造粮食流通企业“主力军”保障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粮食供应链安全的若干意见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打造粮食流通企业“主力军”确保粮食供应链安全的指导意见》（浙粮〔2020〕51号）、《浙江省粮食流通“255”工程政策指引（试行）》（浙粮发〔2021〕42号）等文件精神，结合我市实际，为支持粮食批发、加工、贸易企业等粮食流通主力军、主渠道、主平台企业做大做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提升粮食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调控</w:t>
      </w:r>
      <w:r>
        <w:rPr>
          <w:rFonts w:hint="eastAsia" w:ascii="仿宋_GB2312" w:hAnsi="仿宋_GB2312" w:eastAsia="仿宋_GB2312" w:cs="仿宋_GB2312"/>
          <w:sz w:val="32"/>
          <w:szCs w:val="32"/>
        </w:rPr>
        <w:t>保供能力，现就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粮食流通企业“主力军”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保障粮食供应链安全若干意见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扶持对象为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嘉兴市本级范围内的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批发、加工、贸易等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（以下简称“粮食企业”）。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二、扶持范围及标准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（一）粮食批发市场改造提升项目。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对市场基础设施建设，包括市场内道路、房屋维修改造、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公共低温或准低温仓新建与改造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智能化系统改造与装卸设施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、粮食检化验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相关仪器设备及检验试剂耗材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、专用配送车辆等的配置，在省级财政补助的基础上，按省财政补助资金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的30%给予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地方财政配套补助，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（二）粮食企业仓储加工能力提升项目。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对市本级粮食企业进行新建、改扩建厂房，开展仓储设施建设、生产设备改造、质检能力提升等，给予项目实际投资额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0%的补助，最高不超过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（三）粮食产销合作拓展项目。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粮食企业将我市对口合作产粮地区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原粮、成品粮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，不包括超标粮）运回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</w:t>
      </w:r>
      <w:r>
        <w:rPr>
          <w:rFonts w:hint="eastAsia" w:ascii="仿宋_GB2312" w:hAnsi="仿宋_GB2312" w:eastAsia="仿宋_GB2312" w:cs="仿宋_GB2312"/>
          <w:sz w:val="32"/>
          <w:szCs w:val="32"/>
        </w:rPr>
        <w:t>市加工或销售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成品粮</w:t>
      </w:r>
      <w:r>
        <w:rPr>
          <w:rFonts w:hint="eastAsia" w:ascii="仿宋_GB2312" w:hAnsi="仿宋_GB2312" w:eastAsia="仿宋_GB2312" w:cs="仿宋_GB2312"/>
          <w:sz w:val="32"/>
          <w:szCs w:val="32"/>
        </w:rPr>
        <w:t>折原粮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</w:t>
      </w:r>
      <w:r>
        <w:rPr>
          <w:rFonts w:hint="eastAsia" w:ascii="仿宋_GB2312" w:hAnsi="仿宋_GB2312" w:eastAsia="仿宋_GB2312" w:cs="仿宋_GB2312"/>
          <w:sz w:val="32"/>
          <w:szCs w:val="32"/>
        </w:rPr>
        <w:t>）达到10000吨/年以上的，依据社会中介机构出具的专项审计报告，并经市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认定，一次性给予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万元运输补助。对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我市在省外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加工贸易粮源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基地规模超过5000亩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的（基地面积按浙粮发〔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42号测算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，依据社会中介机构出具的专项审计报告，并经市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认定，按基地面积给予每亩10元的补助，最高不超过10万元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（四）提升粮食企业产品质量项目。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对获得“中国好粮油”产品的粮食企业，有效期内给予一次性5万元奖励；获得“浙江好粮油”产品的粮食企业，有效期内给予一次性3万元奖励。同一产品不重复享受奖励。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）粮食流通主渠道企业扶持项目。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市本级年工业总产值在1亿元以上的粮食加工、转化企业，完成工业总产值比上年增长5%-10%（不含10%）的补贴5万元，增长10%-20%（不含20%）的补贴10万元，增长20%及以上的补贴20万元。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）粮食安全应急体系建设项目。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对纳入市本级应急保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障</w:t>
      </w:r>
      <w:r>
        <w:rPr>
          <w:rFonts w:hint="eastAsia" w:ascii="仿宋_GB2312" w:hAnsi="仿宋_GB2312" w:eastAsia="仿宋_GB2312" w:cs="仿宋_GB2312"/>
          <w:sz w:val="32"/>
          <w:szCs w:val="32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，并与市粮食物资局签订应急加工、运输、供应协议的企业，给予一定补助。其中应急加工企业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按协议确定的加工能力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/吨</w:t>
      </w:r>
      <w:r>
        <w:rPr>
          <w:rFonts w:hint="eastAsia" w:ascii="仿宋_GB2312" w:hAnsi="仿宋_GB2312" w:eastAsia="仿宋_GB2312" w:cs="仿宋_GB2312"/>
          <w:sz w:val="32"/>
          <w:szCs w:val="32"/>
        </w:rPr>
        <w:t>的补助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；应急运输企业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按协议确定的运输能力，给予每年20元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/吨的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；每个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应急供应网点给予每年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纳入市本级重点粮食应急监测单位并按要求及时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报送粮食统计和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给予1000元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年的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三、企业申报要求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（一）申报方式及时间要求。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凡符合补助范围和条件的粮食企业，于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（二）申报材料。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所有申报企业填写申请表（见附件），提供企业营业执照复印件等资料，并根据申请补助或奖励的项目要求分别提供以下材料：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1.市级粮食批发市场改造提升项目、粮食企业仓储加工能力提升项目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（1）项目实施报告。包括项目基本情况、建设内容、资金投入情况和项目成效等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（2）项目实际建设投资证明材料。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项目建设工程合同、工程竣工决算书、投资财务清单等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（3）提供第三方专项审计报告。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2.实施粮食产销合作拓展项目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（1）粮食企业省外粮源基地合同或合法采购合同；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（2）对方销售发票；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（3）付款凭证（银行汇款凭证）；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（4）运抵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运输凭据或运输费发票；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（5）提供第三方专项审计报告。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3.提升粮食企业产品质量项目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提供“中国好粮油”“浙江好粮油”认定证书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4.粮食流通主渠道企业扶持项目。提供第三方专项审计报告。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5.粮食安全应急体系建设项目。提供应急加工、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运输、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1.企业同一项目已获得财政补助或粮食安全专项资金补贴的，不再重复享受。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.企业申请粮食产销合作运输补贴的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申报补贴期限为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1月1日到12月31日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，以货款支付凭证注明的日期为准。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.企业提交的材料按各个项目要求顺序装订成册，一律以印刷品形式上报（勿手工填报），一式3份。提供复印件均需加盖企业公章。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.申报企业保存好原始凭证，以备核查。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四、补助兑现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对申报的项目进行审核，根据审核结果确定拟补助对象，名单公示7个工作日，公示无异议后，由市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按程序拨付补助资金。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补助资金来源由粮食风险基金列支。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粮食物资局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会同市财政局对申报项目不定期开展抽查，企业在申报时弄虚作假的，一经查实，取消申报资格，追回已发放补助资金，并列入企业信用记录。涉及违法的，将移交司法机关处理。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自2023年1月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，暂定执行三年。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扶持资金申请表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</w:rPr>
        <w:t>年度粮食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</w:rPr>
        <w:t>扶持资金申请表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4"/>
        </w:rPr>
        <w:t>　　　　　　　　　　　　　　　　　　　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t>单位：元</w:t>
      </w:r>
      <w:r>
        <w:rPr>
          <w:rFonts w:hint="eastAsia" w:ascii="仿宋_GB2312" w:eastAsia="仿宋_GB2312"/>
          <w:sz w:val="21"/>
          <w:szCs w:val="21"/>
          <w:lang w:eastAsia="zh-CN"/>
        </w:rPr>
        <w:t>、吨、亩</w:t>
      </w:r>
      <w:r>
        <w:rPr>
          <w:rFonts w:hint="eastAsia" w:ascii="仿宋_GB2312" w:eastAsia="仿宋_GB2312"/>
          <w:sz w:val="21"/>
          <w:szCs w:val="21"/>
        </w:rPr>
        <w:t>（保留两位</w:t>
      </w:r>
      <w:r>
        <w:rPr>
          <w:rFonts w:hint="eastAsia" w:ascii="仿宋_GB2312" w:eastAsia="仿宋_GB2312"/>
          <w:sz w:val="21"/>
          <w:szCs w:val="21"/>
          <w:lang w:eastAsia="zh-CN"/>
        </w:rPr>
        <w:t>小数</w:t>
      </w:r>
      <w:r>
        <w:rPr>
          <w:rFonts w:hint="eastAsia" w:ascii="仿宋_GB2312" w:eastAsia="仿宋_GB2312"/>
          <w:sz w:val="21"/>
          <w:szCs w:val="21"/>
        </w:rPr>
        <w:t>）</w:t>
      </w:r>
    </w:p>
    <w:tbl>
      <w:tblPr>
        <w:tblStyle w:val="5"/>
        <w:tblW w:w="8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810"/>
        <w:gridCol w:w="2370"/>
        <w:gridCol w:w="1160"/>
        <w:gridCol w:w="1410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企业名称（公章）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　话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市级粮食批发市场改造提升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额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粮食企业仓储加工能力提升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额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粮食产销合作拓展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运回粮食数量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测算基地面积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提升粮食企业产品质量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获得荣誉名称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粮食流通主渠道企业扶持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工业总产值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比上年增幅（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粮食安全应急体系建设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应急加工、运输能力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1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应急供应网点（个）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1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重点粮食应急监测单位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补助金额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申请补助资金合计（大写）：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　　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97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说明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兹声明以上申报内容真实、有效，否则愿承担法律责任。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140" w:firstLineChars="3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F8C04"/>
    <w:multiLevelType w:val="singleLevel"/>
    <w:tmpl w:val="AFDF8C04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DF0947F8"/>
    <w:multiLevelType w:val="singleLevel"/>
    <w:tmpl w:val="DF0947F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F9CE8"/>
    <w:rsid w:val="BEFF9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2023-11-17T17:24:00Z</dcterms:created>
  <dc:creator>user</dc:creator>
  <cp:lastModifiedBy>user</cp:lastModifiedBy>
  <dcterms:modified xsi:type="dcterms:W3CDTF">2023-11-17T17:30:28Z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